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7D" w:rsidRPr="00AF287D" w:rsidRDefault="006F2EB6" w:rsidP="00AF28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</w:t>
      </w:r>
      <w:r w:rsidR="00AF287D" w:rsidRPr="00AF287D">
        <w:rPr>
          <w:b/>
          <w:sz w:val="32"/>
          <w:szCs w:val="32"/>
          <w:u w:val="single"/>
        </w:rPr>
        <w:t>thcoat Primary School Curriculum Map: Year</w:t>
      </w:r>
      <w:r w:rsidR="00E23D1C">
        <w:rPr>
          <w:b/>
          <w:sz w:val="32"/>
          <w:szCs w:val="32"/>
          <w:u w:val="single"/>
        </w:rPr>
        <w:t xml:space="preserve"> 4</w:t>
      </w:r>
      <w:r w:rsidR="007F4428">
        <w:rPr>
          <w:b/>
          <w:sz w:val="32"/>
          <w:szCs w:val="32"/>
          <w:u w:val="single"/>
        </w:rPr>
        <w:t xml:space="preserve"> 2017/18</w:t>
      </w:r>
    </w:p>
    <w:p w:rsidR="008A1F67" w:rsidRDefault="00AF287D" w:rsidP="00AF287D">
      <w:pPr>
        <w:rPr>
          <w:b/>
          <w:i/>
          <w:sz w:val="24"/>
          <w:szCs w:val="24"/>
        </w:rPr>
      </w:pPr>
      <w:r w:rsidRPr="00AF287D">
        <w:rPr>
          <w:i/>
          <w:sz w:val="24"/>
          <w:szCs w:val="24"/>
        </w:rPr>
        <w:t>Below</w:t>
      </w:r>
      <w:r w:rsidRPr="00AF287D">
        <w:rPr>
          <w:b/>
          <w:i/>
          <w:sz w:val="24"/>
          <w:szCs w:val="24"/>
        </w:rPr>
        <w:t xml:space="preserve"> is our curriculum map for this year. </w:t>
      </w: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956"/>
        <w:gridCol w:w="1021"/>
        <w:gridCol w:w="1388"/>
        <w:gridCol w:w="2694"/>
        <w:gridCol w:w="14"/>
        <w:gridCol w:w="269"/>
        <w:gridCol w:w="2439"/>
        <w:gridCol w:w="1842"/>
        <w:gridCol w:w="1843"/>
      </w:tblGrid>
      <w:tr w:rsidR="00E23D1C" w:rsidRPr="007F4428" w:rsidTr="008B5910">
        <w:tc>
          <w:tcPr>
            <w:tcW w:w="1277" w:type="dxa"/>
            <w:vMerge w:val="restart"/>
          </w:tcPr>
          <w:p w:rsidR="00E23D1C" w:rsidRPr="007F4428" w:rsidRDefault="00E23D1C" w:rsidP="00FB3BE9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Year 4</w:t>
            </w:r>
          </w:p>
        </w:tc>
        <w:tc>
          <w:tcPr>
            <w:tcW w:w="4365" w:type="dxa"/>
            <w:gridSpan w:val="3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5416" w:type="dxa"/>
            <w:gridSpan w:val="4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Spring Term </w:t>
            </w:r>
          </w:p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Summer Term </w:t>
            </w:r>
          </w:p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3D1C" w:rsidRPr="007F4428" w:rsidTr="008B5910">
        <w:tc>
          <w:tcPr>
            <w:tcW w:w="1277" w:type="dxa"/>
            <w:vMerge/>
          </w:tcPr>
          <w:p w:rsidR="00E23D1C" w:rsidRPr="007F4428" w:rsidRDefault="00E23D1C" w:rsidP="00FB3BE9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3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2</w:t>
            </w:r>
          </w:p>
        </w:tc>
      </w:tr>
      <w:tr w:rsidR="00E23D1C" w:rsidRPr="007F4428" w:rsidTr="008B5910">
        <w:tc>
          <w:tcPr>
            <w:tcW w:w="1277" w:type="dxa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956" w:type="dxa"/>
          </w:tcPr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Poetry – 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 short block of work looking at </w:t>
            </w:r>
            <w:r w:rsidR="00816059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various features of poetry and writing an alliterative poem. </w:t>
            </w:r>
          </w:p>
          <w:p w:rsidR="00E23D1C" w:rsidRPr="007F4428" w:rsidRDefault="00E23D1C" w:rsidP="00FB3BE9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:rsidR="00E23D1C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Leon and the Place Between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A beautiful book, this work will be used to inspire a variety of creative and imaginative stories the follow the same story pattern.  Foci will include speech and adverbials.</w:t>
            </w:r>
          </w:p>
          <w:p w:rsidR="007F4428" w:rsidRDefault="007F4428" w:rsidP="00FB3BE9">
            <w:pPr>
              <w:rPr>
                <w:sz w:val="18"/>
                <w:szCs w:val="18"/>
              </w:rPr>
            </w:pPr>
          </w:p>
          <w:p w:rsidR="007F4428" w:rsidRPr="007F4428" w:rsidRDefault="007F4428" w:rsidP="007F442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Recount – 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learning the features and structures associate with recounts culminating i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n a recount</w:t>
            </w:r>
            <w:r w:rsidR="00467C99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of our visit to Kent’s Cavern.</w:t>
            </w:r>
          </w:p>
          <w:p w:rsidR="007F4428" w:rsidRPr="007F4428" w:rsidRDefault="007F4428" w:rsidP="00FB3BE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Gregory Cool –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 story set in England and Tobago, this follows a boy’s travels to meet and live with his grandparents and his experiences in a new place.  Fronted adverbials, more advanced speech structures and recognition of how problems can be solved in story will be foci for this.  </w:t>
            </w:r>
          </w:p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E23D1C" w:rsidRDefault="007F4428" w:rsidP="007F442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Doctor K Fisher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a set of ‘agony aunt’ style letters and responses, children learn the features of these kind of letters and then create their own humorous attempts.  </w:t>
            </w:r>
          </w:p>
          <w:p w:rsidR="00600A50" w:rsidRPr="007F4428" w:rsidRDefault="00600A50" w:rsidP="007F4428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(to be continued in spring term)</w:t>
            </w:r>
          </w:p>
        </w:tc>
        <w:tc>
          <w:tcPr>
            <w:tcW w:w="2977" w:type="dxa"/>
            <w:gridSpan w:val="3"/>
          </w:tcPr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Caminante</w:t>
            </w:r>
            <w:proofErr w:type="spellEnd"/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(digital text)</w:t>
            </w:r>
            <w:r w:rsidR="008B5910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a short animated film based on a tightrope walker in a town in Spain.  Creative dialogue writing and characterisation will be our foci for this wordless piece.</w:t>
            </w:r>
          </w:p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600A50" w:rsidRDefault="00600A50" w:rsidP="00600A50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Instructions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learning the features of instructions using the imperative form of verbs.</w:t>
            </w:r>
          </w:p>
          <w:p w:rsidR="00E23D1C" w:rsidRPr="007F4428" w:rsidRDefault="00E23D1C" w:rsidP="008B5910">
            <w:pPr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</w:tcPr>
          <w:p w:rsidR="00E23D1C" w:rsidRPr="007F4428" w:rsidRDefault="008B5910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How d</w:t>
            </w:r>
            <w:r w:rsidR="00E23D1C"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 Dogs Really Work?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A fictitious explanation text which incorporates luscious illustrated diagrams, this book is inspirational for children when creating their own explanation texts.</w:t>
            </w:r>
          </w:p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E23D1C" w:rsidRPr="007F4428" w:rsidRDefault="00600A50" w:rsidP="008160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Winter’s Child</w:t>
            </w:r>
          </w:p>
        </w:tc>
        <w:tc>
          <w:tcPr>
            <w:tcW w:w="1842" w:type="dxa"/>
          </w:tcPr>
          <w:p w:rsidR="006D4957" w:rsidRPr="007F4428" w:rsidRDefault="00600A50" w:rsidP="006D4957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Brochure</w:t>
            </w:r>
            <w:r w:rsidR="006D4957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E80476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–</w:t>
            </w:r>
            <w:r w:rsidR="006D4957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Persuasive writing to persuade people to visit the Grand Western Canal</w:t>
            </w:r>
          </w:p>
          <w:p w:rsidR="006D4957" w:rsidRPr="007F4428" w:rsidRDefault="006D4957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E23D1C" w:rsidRPr="007F4428" w:rsidRDefault="00E23D1C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00A5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Herb the Vegetarian Dragon</w:t>
            </w:r>
            <w:r w:rsidR="005204B6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A beautifully illustrated book where, Herb has to solve a dilemma.  A classic story structure with the opportunity for development of dialogue.  </w:t>
            </w:r>
          </w:p>
          <w:p w:rsidR="00E23D1C" w:rsidRPr="007F4428" w:rsidRDefault="00710AA3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(This may be subject to change)</w:t>
            </w:r>
          </w:p>
          <w:p w:rsidR="00E23D1C" w:rsidRPr="007F4428" w:rsidRDefault="00E23D1C" w:rsidP="00FB3BE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D4957" w:rsidRPr="007F4428" w:rsidRDefault="00E80476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00A5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Escape from Pompeii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Drawing links between our studies of the Romans this term and our (intended) look at volcanoes and earthquakes this term.  </w:t>
            </w:r>
          </w:p>
          <w:p w:rsidR="00E80476" w:rsidRPr="007F4428" w:rsidRDefault="00E80476" w:rsidP="00FB3BE9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E23D1C" w:rsidRPr="007F4428" w:rsidRDefault="006D4957" w:rsidP="005204B6">
            <w:pPr>
              <w:rPr>
                <w:b/>
                <w:sz w:val="18"/>
                <w:szCs w:val="18"/>
              </w:rPr>
            </w:pPr>
            <w:r w:rsidRPr="00600A5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Poetry</w:t>
            </w:r>
            <w:r w:rsidR="00E80476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Based on </w:t>
            </w:r>
            <w:r w:rsidR="00E80476" w:rsidRPr="007F4428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>Paint me a Poem</w:t>
            </w:r>
            <w:r w:rsidR="00E80476"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by Grace Nichols.  Poetry inspired by specific art pieces.  Use of noun and adverbial phrases, imagery and usual language in unusual combinations</w:t>
            </w:r>
          </w:p>
        </w:tc>
      </w:tr>
      <w:tr w:rsidR="00E23D1C" w:rsidRPr="007F4428" w:rsidTr="008B5910">
        <w:tc>
          <w:tcPr>
            <w:tcW w:w="1277" w:type="dxa"/>
          </w:tcPr>
          <w:p w:rsidR="00E23D1C" w:rsidRPr="007F4428" w:rsidRDefault="00E23D1C" w:rsidP="00FB3BE9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956" w:type="dxa"/>
          </w:tcPr>
          <w:p w:rsidR="00E23D1C" w:rsidRPr="007F4428" w:rsidRDefault="00E23D1C" w:rsidP="00FB3BE9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Maths No Problem – </w:t>
            </w:r>
            <w:r w:rsidRPr="007F4428">
              <w:rPr>
                <w:sz w:val="18"/>
                <w:szCs w:val="18"/>
              </w:rPr>
              <w:t>Numbers to 10000</w:t>
            </w:r>
            <w:r w:rsidRPr="007F442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E23D1C" w:rsidRPr="007F4428" w:rsidRDefault="00E23D1C" w:rsidP="00FB3BE9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Maths No Problem – </w:t>
            </w:r>
            <w:r w:rsidRPr="007F4428">
              <w:rPr>
                <w:sz w:val="18"/>
                <w:szCs w:val="18"/>
              </w:rPr>
              <w:t>Addition and Subtraction to 10000 and Multiplication and Division</w:t>
            </w:r>
          </w:p>
        </w:tc>
        <w:tc>
          <w:tcPr>
            <w:tcW w:w="2977" w:type="dxa"/>
            <w:gridSpan w:val="3"/>
          </w:tcPr>
          <w:p w:rsidR="00E23D1C" w:rsidRPr="007F4428" w:rsidRDefault="00E23D1C" w:rsidP="00FB3BE9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Maths No Problem </w:t>
            </w:r>
            <w:r w:rsidR="00B04C8A" w:rsidRPr="007F4428">
              <w:rPr>
                <w:b/>
                <w:sz w:val="18"/>
                <w:szCs w:val="18"/>
              </w:rPr>
              <w:t xml:space="preserve">– </w:t>
            </w:r>
            <w:r w:rsidR="00B04C8A" w:rsidRPr="007F4428"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2439" w:type="dxa"/>
          </w:tcPr>
          <w:p w:rsidR="00B04C8A" w:rsidRPr="007F4428" w:rsidRDefault="00E23D1C" w:rsidP="00B04C8A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Maths No Problem</w:t>
            </w:r>
            <w:r w:rsidR="00B04C8A" w:rsidRPr="007F4428">
              <w:rPr>
                <w:b/>
                <w:sz w:val="18"/>
                <w:szCs w:val="18"/>
              </w:rPr>
              <w:t xml:space="preserve"> – </w:t>
            </w:r>
            <w:r w:rsidR="00B04C8A" w:rsidRPr="007F4428">
              <w:rPr>
                <w:sz w:val="18"/>
                <w:szCs w:val="18"/>
              </w:rPr>
              <w:t>Further Multiplication and Division</w:t>
            </w:r>
          </w:p>
          <w:p w:rsidR="00B04C8A" w:rsidRPr="007F4428" w:rsidRDefault="00B04C8A" w:rsidP="00B04C8A">
            <w:pPr>
              <w:rPr>
                <w:b/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Graphs</w:t>
            </w:r>
          </w:p>
        </w:tc>
        <w:tc>
          <w:tcPr>
            <w:tcW w:w="1842" w:type="dxa"/>
          </w:tcPr>
          <w:p w:rsidR="00E23D1C" w:rsidRPr="007F4428" w:rsidRDefault="00E23D1C" w:rsidP="00FB3BE9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Maths No Problem</w:t>
            </w:r>
            <w:r w:rsidR="006D4957" w:rsidRPr="007F4428">
              <w:rPr>
                <w:b/>
                <w:sz w:val="18"/>
                <w:szCs w:val="18"/>
              </w:rPr>
              <w:t xml:space="preserve"> – </w:t>
            </w:r>
            <w:r w:rsidR="006D4957" w:rsidRPr="007F4428">
              <w:rPr>
                <w:sz w:val="18"/>
                <w:szCs w:val="18"/>
              </w:rPr>
              <w:t>Fractions, Decimals, Measurement &amp; Geometry</w:t>
            </w:r>
          </w:p>
        </w:tc>
        <w:tc>
          <w:tcPr>
            <w:tcW w:w="1843" w:type="dxa"/>
          </w:tcPr>
          <w:p w:rsidR="00E23D1C" w:rsidRPr="007F4428" w:rsidRDefault="006D4957" w:rsidP="00FB3BE9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Maths No Problem – </w:t>
            </w:r>
            <w:r w:rsidRPr="007F4428">
              <w:rPr>
                <w:sz w:val="18"/>
                <w:szCs w:val="18"/>
              </w:rPr>
              <w:t>Fractions, Decimals, Measurement &amp; Geometry</w:t>
            </w:r>
          </w:p>
        </w:tc>
      </w:tr>
      <w:tr w:rsidR="00600A50" w:rsidRPr="007F4428" w:rsidTr="008B5910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956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States of matter- </w:t>
            </w:r>
            <w:r w:rsidRPr="007F4428">
              <w:rPr>
                <w:sz w:val="18"/>
                <w:szCs w:val="18"/>
              </w:rPr>
              <w:t xml:space="preserve">Looking at the 3 different states of matter and transitions </w:t>
            </w:r>
            <w:r w:rsidRPr="007F4428">
              <w:rPr>
                <w:sz w:val="18"/>
                <w:szCs w:val="18"/>
              </w:rPr>
              <w:lastRenderedPageBreak/>
              <w:t xml:space="preserve">between them.  Learning about the basic molecular structure of these states.  </w:t>
            </w:r>
          </w:p>
        </w:tc>
        <w:tc>
          <w:tcPr>
            <w:tcW w:w="2409" w:type="dxa"/>
            <w:gridSpan w:val="2"/>
          </w:tcPr>
          <w:p w:rsidR="00600A50" w:rsidRDefault="00600A50" w:rsidP="00600A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Animals including humans- </w:t>
            </w:r>
            <w:r>
              <w:rPr>
                <w:sz w:val="18"/>
                <w:szCs w:val="18"/>
              </w:rPr>
              <w:t>Learning about healthy teeth</w:t>
            </w:r>
          </w:p>
          <w:p w:rsidR="00600A50" w:rsidRDefault="00600A50" w:rsidP="00600A50">
            <w:pPr>
              <w:rPr>
                <w:sz w:val="18"/>
                <w:szCs w:val="18"/>
              </w:rPr>
            </w:pPr>
          </w:p>
          <w:p w:rsidR="00600A50" w:rsidRPr="00600A50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Sound – </w:t>
            </w:r>
            <w:r w:rsidRPr="007F4428">
              <w:rPr>
                <w:sz w:val="18"/>
                <w:szCs w:val="18"/>
              </w:rPr>
              <w:t xml:space="preserve">Children will learn </w:t>
            </w:r>
            <w:r w:rsidRPr="007F4428">
              <w:rPr>
                <w:sz w:val="18"/>
                <w:szCs w:val="18"/>
              </w:rPr>
              <w:lastRenderedPageBreak/>
              <w:t>about how sounds are created and maintained and their behaviour in different mediums.  Experiments will be conducted into pitch.</w:t>
            </w:r>
          </w:p>
        </w:tc>
        <w:tc>
          <w:tcPr>
            <w:tcW w:w="2977" w:type="dxa"/>
            <w:gridSpan w:val="3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lastRenderedPageBreak/>
              <w:t xml:space="preserve">Electricity – </w:t>
            </w:r>
            <w:r w:rsidRPr="007F4428">
              <w:rPr>
                <w:sz w:val="18"/>
                <w:szCs w:val="18"/>
              </w:rPr>
              <w:t xml:space="preserve">Children will learn about the dangers of electricity, common circuit components and how they work within a DC circuit and will </w:t>
            </w:r>
            <w:r w:rsidRPr="007F4428">
              <w:rPr>
                <w:sz w:val="18"/>
                <w:szCs w:val="18"/>
              </w:rPr>
              <w:lastRenderedPageBreak/>
              <w:t>investigate the behaviour of these components.</w:t>
            </w:r>
          </w:p>
        </w:tc>
        <w:tc>
          <w:tcPr>
            <w:tcW w:w="2439" w:type="dxa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Animals including humans- </w:t>
            </w:r>
            <w:r>
              <w:rPr>
                <w:sz w:val="18"/>
                <w:szCs w:val="18"/>
              </w:rPr>
              <w:t>digestive system</w:t>
            </w:r>
          </w:p>
        </w:tc>
        <w:tc>
          <w:tcPr>
            <w:tcW w:w="1842" w:type="dxa"/>
          </w:tcPr>
          <w:p w:rsidR="00600A50" w:rsidRPr="003B500C" w:rsidRDefault="00600A50" w:rsidP="00600A50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B500C">
              <w:rPr>
                <w:rFonts w:asciiTheme="minorHAnsi" w:hAnsiTheme="minorHAnsi"/>
                <w:b/>
                <w:sz w:val="18"/>
                <w:szCs w:val="18"/>
              </w:rPr>
              <w:t xml:space="preserve">Animals including </w:t>
            </w:r>
            <w:r w:rsidRPr="003B500C">
              <w:rPr>
                <w:rFonts w:asciiTheme="minorHAnsi" w:hAnsiTheme="minorHAnsi" w:cs="Arial"/>
                <w:b/>
                <w:sz w:val="18"/>
                <w:szCs w:val="18"/>
              </w:rPr>
              <w:t xml:space="preserve">humans- </w:t>
            </w:r>
            <w:r w:rsidRPr="003B500C">
              <w:rPr>
                <w:rFonts w:asciiTheme="minorHAnsi" w:hAnsiTheme="minorHAnsi" w:cs="Arial"/>
                <w:sz w:val="18"/>
                <w:szCs w:val="18"/>
              </w:rPr>
              <w:t xml:space="preserve">food chains identify the different types of </w:t>
            </w:r>
            <w:r w:rsidRPr="003B500C">
              <w:rPr>
                <w:rFonts w:asciiTheme="minorHAnsi" w:hAnsiTheme="minorHAnsi" w:cs="Arial"/>
                <w:sz w:val="18"/>
                <w:szCs w:val="18"/>
              </w:rPr>
              <w:lastRenderedPageBreak/>
              <w:t>teeth in humans and their simple functions</w:t>
            </w:r>
          </w:p>
          <w:p w:rsidR="00600A50" w:rsidRPr="00600A50" w:rsidRDefault="00600A50" w:rsidP="00600A5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B500C">
              <w:rPr>
                <w:rFonts w:asciiTheme="minorHAnsi" w:hAnsiTheme="minorHAnsi" w:cs="Arial"/>
                <w:sz w:val="18"/>
                <w:szCs w:val="18"/>
              </w:rPr>
              <w:t>construct and interpret a variety of food chains, identifying producers, predators and prey.</w:t>
            </w:r>
          </w:p>
        </w:tc>
        <w:tc>
          <w:tcPr>
            <w:tcW w:w="1843" w:type="dxa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lastRenderedPageBreak/>
              <w:t>Habitats and classification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we will look at different organisms from 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>around the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plant and animal kingdoms.  We will study their habitats and look at how they organisms are adapted to them.  </w:t>
            </w:r>
          </w:p>
        </w:tc>
      </w:tr>
      <w:tr w:rsidR="00600A50" w:rsidRPr="007F4428" w:rsidTr="008F70CF">
        <w:trPr>
          <w:trHeight w:val="1303"/>
        </w:trPr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lastRenderedPageBreak/>
              <w:t>ICT</w:t>
            </w:r>
          </w:p>
        </w:tc>
        <w:tc>
          <w:tcPr>
            <w:tcW w:w="1956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Switched On </w:t>
            </w:r>
            <w:proofErr w:type="gramStart"/>
            <w:r w:rsidRPr="007F4428">
              <w:rPr>
                <w:b/>
                <w:sz w:val="18"/>
                <w:szCs w:val="18"/>
              </w:rPr>
              <w:t>Computing</w:t>
            </w:r>
            <w:r w:rsidRPr="007F4428">
              <w:rPr>
                <w:sz w:val="18"/>
                <w:szCs w:val="18"/>
              </w:rPr>
              <w:t xml:space="preserve">  We</w:t>
            </w:r>
            <w:proofErr w:type="gramEnd"/>
            <w:r w:rsidRPr="007F4428">
              <w:rPr>
                <w:sz w:val="18"/>
                <w:szCs w:val="18"/>
              </w:rPr>
              <w:t xml:space="preserve"> are software developers- Programming simple educational games using </w:t>
            </w:r>
            <w:proofErr w:type="spellStart"/>
            <w:r w:rsidRPr="007F4428">
              <w:rPr>
                <w:sz w:val="18"/>
                <w:szCs w:val="18"/>
              </w:rPr>
              <w:t>Pyonkee</w:t>
            </w:r>
            <w:proofErr w:type="spellEnd"/>
            <w:r w:rsidRPr="007F4428">
              <w:rPr>
                <w:sz w:val="18"/>
                <w:szCs w:val="18"/>
              </w:rPr>
              <w:t>, a variant of Scratch by MIT.</w:t>
            </w:r>
          </w:p>
        </w:tc>
        <w:tc>
          <w:tcPr>
            <w:tcW w:w="2409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Switched On Computing </w:t>
            </w:r>
            <w:r w:rsidRPr="007F4428">
              <w:rPr>
                <w:sz w:val="18"/>
                <w:szCs w:val="18"/>
              </w:rPr>
              <w:t xml:space="preserve">– we are toy designers Programming simple interactive toys that operate on a computer and are controllable.  </w:t>
            </w:r>
          </w:p>
        </w:tc>
        <w:tc>
          <w:tcPr>
            <w:tcW w:w="2439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Switched On Computing- </w:t>
            </w:r>
            <w:r w:rsidRPr="007F4428">
              <w:rPr>
                <w:sz w:val="18"/>
                <w:szCs w:val="18"/>
              </w:rPr>
              <w:t>we are musicians</w:t>
            </w:r>
          </w:p>
        </w:tc>
        <w:tc>
          <w:tcPr>
            <w:tcW w:w="1842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Switched On Computing – </w:t>
            </w:r>
            <w:r w:rsidRPr="007F4428">
              <w:rPr>
                <w:sz w:val="18"/>
                <w:szCs w:val="18"/>
              </w:rPr>
              <w:t xml:space="preserve">we are meteorologists </w:t>
            </w:r>
          </w:p>
        </w:tc>
        <w:tc>
          <w:tcPr>
            <w:tcW w:w="1843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</w:tr>
      <w:tr w:rsidR="00CD7A53" w:rsidRPr="007F4428" w:rsidTr="007B7DB7">
        <w:tc>
          <w:tcPr>
            <w:tcW w:w="1277" w:type="dxa"/>
          </w:tcPr>
          <w:p w:rsidR="00CD7A53" w:rsidRPr="007F4428" w:rsidRDefault="00CD7A53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4365" w:type="dxa"/>
            <w:gridSpan w:val="3"/>
          </w:tcPr>
          <w:p w:rsidR="00CD7A53" w:rsidRDefault="00CD7A53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Swimming</w:t>
            </w:r>
            <w:r w:rsidRPr="007F4428">
              <w:rPr>
                <w:sz w:val="18"/>
                <w:szCs w:val="18"/>
              </w:rPr>
              <w:t xml:space="preserve"> – The development of strokes and endurance.  Understanding of water safety.  </w:t>
            </w:r>
          </w:p>
          <w:p w:rsidR="00CD7A53" w:rsidRPr="007F4428" w:rsidRDefault="00CD7A53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Gymnastics </w:t>
            </w:r>
            <w:r w:rsidRPr="007F4428">
              <w:rPr>
                <w:sz w:val="18"/>
                <w:szCs w:val="18"/>
              </w:rPr>
              <w:t>– Children will create, practice and improve on sequences of movements that practice poise, dynamics and flexibility.</w:t>
            </w:r>
          </w:p>
          <w:p w:rsidR="00CD7A53" w:rsidRPr="007F4428" w:rsidRDefault="00CD7A53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Invasion games- </w:t>
            </w:r>
            <w:r w:rsidRPr="007F4428">
              <w:rPr>
                <w:sz w:val="18"/>
                <w:szCs w:val="18"/>
              </w:rPr>
              <w:t xml:space="preserve">we will practise skills of throwing and catching, working as a team, invading an opponent’s space.  </w:t>
            </w:r>
          </w:p>
          <w:p w:rsidR="00CD7A53" w:rsidRDefault="00CD7A53" w:rsidP="00CD7A53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Outdoor Adventurous Activity</w:t>
            </w:r>
            <w:r w:rsidRPr="007F4428">
              <w:rPr>
                <w:sz w:val="18"/>
                <w:szCs w:val="18"/>
              </w:rPr>
              <w:t xml:space="preserve">- OAA will be covered through our Forest Schools work. Activities will include team building activities, orienteering and map work.  </w:t>
            </w:r>
          </w:p>
          <w:p w:rsidR="00CD7A53" w:rsidRPr="007F4428" w:rsidRDefault="00CD7A53" w:rsidP="00CD7A53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gridSpan w:val="4"/>
          </w:tcPr>
          <w:p w:rsidR="00CD7A53" w:rsidRDefault="00CD7A53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Invasion games – </w:t>
            </w:r>
            <w:r w:rsidRPr="007F4428">
              <w:rPr>
                <w:sz w:val="18"/>
                <w:szCs w:val="18"/>
              </w:rPr>
              <w:t xml:space="preserve">Tag Rugby will be the focus game.  Children will learn associated skills and tactics as well as practicing them within small game and full game sessions.  </w:t>
            </w:r>
          </w:p>
          <w:p w:rsidR="00CD7A53" w:rsidRDefault="00CD7A53" w:rsidP="00600A50">
            <w:pPr>
              <w:rPr>
                <w:sz w:val="18"/>
                <w:szCs w:val="18"/>
              </w:rPr>
            </w:pPr>
          </w:p>
          <w:p w:rsidR="00CD7A53" w:rsidRPr="007F4428" w:rsidRDefault="00CD7A53" w:rsidP="00CD7A53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Dance </w:t>
            </w:r>
            <w:r w:rsidRPr="007F4428">
              <w:rPr>
                <w:sz w:val="18"/>
                <w:szCs w:val="18"/>
              </w:rPr>
              <w:t>– An interpretive dance based on movements common to the Stone Age and music by Wagner (Ride of Valkyries).</w:t>
            </w:r>
          </w:p>
          <w:p w:rsidR="00CD7A53" w:rsidRDefault="00CD7A53" w:rsidP="00600A50">
            <w:pPr>
              <w:rPr>
                <w:sz w:val="18"/>
                <w:szCs w:val="18"/>
              </w:rPr>
            </w:pPr>
          </w:p>
          <w:p w:rsidR="00CD7A53" w:rsidRPr="007F4428" w:rsidRDefault="00CD7A53" w:rsidP="00CD7A53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Gymnastics </w:t>
            </w:r>
            <w:r w:rsidRPr="007F4428">
              <w:rPr>
                <w:sz w:val="18"/>
                <w:szCs w:val="18"/>
              </w:rPr>
              <w:t>– Children will create, practice and improve on sequences of movements that practice poise, dynamics and flexibility.</w:t>
            </w:r>
          </w:p>
          <w:p w:rsidR="00CD7A53" w:rsidRDefault="00CD7A53" w:rsidP="00600A50">
            <w:pPr>
              <w:rPr>
                <w:sz w:val="18"/>
                <w:szCs w:val="18"/>
              </w:rPr>
            </w:pPr>
          </w:p>
          <w:p w:rsidR="00CD7A53" w:rsidRDefault="00CD7A53" w:rsidP="00CD7A53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Outdoor Adventurous Activity</w:t>
            </w:r>
            <w:r w:rsidRPr="007F4428">
              <w:rPr>
                <w:sz w:val="18"/>
                <w:szCs w:val="18"/>
              </w:rPr>
              <w:t xml:space="preserve">- OAA will be covered through our Forest Schools work. Activities will include team building activities, orienteering and map work.  </w:t>
            </w:r>
          </w:p>
          <w:p w:rsidR="00CD7A53" w:rsidRPr="007F4428" w:rsidRDefault="00CD7A53" w:rsidP="00CD7A5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D7A53" w:rsidRPr="007F4428" w:rsidRDefault="00CD7A53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Athletics </w:t>
            </w:r>
            <w:r w:rsidRPr="007F4428">
              <w:rPr>
                <w:sz w:val="18"/>
                <w:szCs w:val="18"/>
              </w:rPr>
              <w:t>- working on the traditional athletics / Sports Day events of sprinting, longer distance running, high and low jumps, and throwing challenges.</w:t>
            </w:r>
          </w:p>
          <w:p w:rsidR="00CD7A53" w:rsidRPr="007F4428" w:rsidRDefault="00CD7A53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Striking and Fielding </w:t>
            </w:r>
            <w:r w:rsidRPr="007F4428">
              <w:rPr>
                <w:sz w:val="18"/>
                <w:szCs w:val="18"/>
              </w:rPr>
              <w:t xml:space="preserve">– developing our understanding of strategy in fielding and tactics in batting as well as throwing and catching.  </w:t>
            </w:r>
          </w:p>
          <w:p w:rsidR="00CD7A53" w:rsidRPr="007F4428" w:rsidRDefault="00CD7A53" w:rsidP="00CD7A53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Net &amp; Wall Games </w:t>
            </w:r>
            <w:r w:rsidRPr="007F4428">
              <w:rPr>
                <w:sz w:val="18"/>
                <w:szCs w:val="18"/>
              </w:rPr>
              <w:t>– teaching the basic tennis skills – hitting a ball, moving round the court.</w:t>
            </w:r>
          </w:p>
          <w:p w:rsidR="00CD7A53" w:rsidRDefault="00CD7A53" w:rsidP="00CD7A53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Outdoor Adventurous Activity</w:t>
            </w:r>
            <w:r w:rsidRPr="007F4428">
              <w:rPr>
                <w:sz w:val="18"/>
                <w:szCs w:val="18"/>
              </w:rPr>
              <w:t xml:space="preserve">- OAA will be covered through our Forest Schools work. Activities will include team building activities, orienteering and map work.  </w:t>
            </w:r>
          </w:p>
          <w:p w:rsidR="00CD7A53" w:rsidRPr="007F4428" w:rsidRDefault="00CD7A53" w:rsidP="00600A50">
            <w:pPr>
              <w:rPr>
                <w:sz w:val="18"/>
                <w:szCs w:val="18"/>
              </w:rPr>
            </w:pPr>
          </w:p>
        </w:tc>
      </w:tr>
      <w:tr w:rsidR="00600A50" w:rsidRPr="007F4428" w:rsidTr="00815752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4365" w:type="dxa"/>
            <w:gridSpan w:val="3"/>
          </w:tcPr>
          <w:p w:rsidR="00600A50" w:rsidRPr="007F4428" w:rsidRDefault="00600A50" w:rsidP="00600A50">
            <w:pPr>
              <w:jc w:val="both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Britain from the Stone age to the Iron age </w:t>
            </w:r>
            <w:r w:rsidRPr="007F4428">
              <w:rPr>
                <w:sz w:val="18"/>
                <w:szCs w:val="18"/>
              </w:rPr>
              <w:t xml:space="preserve">– Looking at all aspects of life for peoples of the Stone Age to the Iron Age in Britain.  </w:t>
            </w:r>
            <w:proofErr w:type="spellStart"/>
            <w:r w:rsidRPr="007F4428">
              <w:rPr>
                <w:sz w:val="18"/>
                <w:szCs w:val="18"/>
              </w:rPr>
              <w:t>Skara</w:t>
            </w:r>
            <w:proofErr w:type="spellEnd"/>
            <w:r w:rsidRPr="007F4428">
              <w:rPr>
                <w:sz w:val="18"/>
                <w:szCs w:val="18"/>
              </w:rPr>
              <w:t xml:space="preserve"> Brae, </w:t>
            </w:r>
            <w:proofErr w:type="spellStart"/>
            <w:r w:rsidRPr="007F4428">
              <w:rPr>
                <w:sz w:val="18"/>
                <w:szCs w:val="18"/>
              </w:rPr>
              <w:t>Kents</w:t>
            </w:r>
            <w:proofErr w:type="spellEnd"/>
            <w:r w:rsidRPr="007F4428">
              <w:rPr>
                <w:sz w:val="18"/>
                <w:szCs w:val="18"/>
              </w:rPr>
              <w:t xml:space="preserve"> Cavern and the change from hunting and gathering to farming.  </w:t>
            </w:r>
          </w:p>
        </w:tc>
        <w:tc>
          <w:tcPr>
            <w:tcW w:w="5416" w:type="dxa"/>
            <w:gridSpan w:val="4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Romans – </w:t>
            </w:r>
            <w:r w:rsidRPr="007F4428">
              <w:rPr>
                <w:sz w:val="18"/>
                <w:szCs w:val="18"/>
              </w:rPr>
              <w:t xml:space="preserve">Children will learn to place Roman civilisation on a time line and relate it to previous learning.  We will look at the Roman invasion of the British Isles and the impact it had.  </w:t>
            </w:r>
          </w:p>
        </w:tc>
        <w:tc>
          <w:tcPr>
            <w:tcW w:w="3685" w:type="dxa"/>
            <w:gridSpan w:val="2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</w:p>
        </w:tc>
      </w:tr>
      <w:tr w:rsidR="00600A50" w:rsidRPr="007F4428" w:rsidTr="00901696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Geography </w:t>
            </w:r>
          </w:p>
        </w:tc>
        <w:tc>
          <w:tcPr>
            <w:tcW w:w="2977" w:type="dxa"/>
            <w:gridSpan w:val="2"/>
          </w:tcPr>
          <w:p w:rsidR="00600A50" w:rsidRPr="007F4428" w:rsidRDefault="00600A50" w:rsidP="00600A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:rsidR="00600A50" w:rsidRPr="007F4428" w:rsidRDefault="00600A50" w:rsidP="00600A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16" w:type="dxa"/>
            <w:gridSpan w:val="4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Rivers and the water cycle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We will learn how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the water cycle is a series of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reversible and irreversible changes that moves water around the planet while not losing any.  We will look at rivers’ makeup, locations and forms and what </w:t>
            </w: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 xml:space="preserve">causes these variations.   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(if time) Volcanoes and Earthquakes – Types of volcanoes, basic understanding of plate tectonics, how volcanoes and earthquakes are caused</w:t>
            </w:r>
          </w:p>
        </w:tc>
      </w:tr>
      <w:tr w:rsidR="00600A50" w:rsidRPr="007F4428" w:rsidTr="00600A50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956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Learning about the science of sound through music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Music- exploring composers and composing own music</w:t>
            </w:r>
          </w:p>
        </w:tc>
        <w:tc>
          <w:tcPr>
            <w:tcW w:w="1842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Music- performing compositions</w:t>
            </w:r>
          </w:p>
        </w:tc>
      </w:tr>
      <w:tr w:rsidR="00600A50" w:rsidRPr="007F4428" w:rsidTr="00600A50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956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Pilgrimage and sacred places. Christianity (Lourdes) </w:t>
            </w:r>
            <w:r w:rsidRPr="007F4428">
              <w:rPr>
                <w:sz w:val="18"/>
                <w:szCs w:val="18"/>
              </w:rPr>
              <w:t xml:space="preserve">– Learning about where and why people make pilgrimages.  </w:t>
            </w:r>
          </w:p>
        </w:tc>
        <w:tc>
          <w:tcPr>
            <w:tcW w:w="2708" w:type="dxa"/>
            <w:gridSpan w:val="2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Pilgrimage and sacred places.  </w:t>
            </w:r>
            <w:r w:rsidRPr="007F4428">
              <w:rPr>
                <w:sz w:val="18"/>
                <w:szCs w:val="18"/>
              </w:rPr>
              <w:t>Islam – we will visit a local mosque and compare pilgrimages made by Muslims with those made by other religions.</w:t>
            </w:r>
          </w:p>
        </w:tc>
      </w:tr>
      <w:tr w:rsidR="00600A50" w:rsidRPr="007F4428" w:rsidTr="00CD7A53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2977" w:type="dxa"/>
            <w:gridSpan w:val="2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New Beginnings- </w:t>
            </w:r>
            <w:r w:rsidRPr="007F4428">
              <w:rPr>
                <w:sz w:val="18"/>
                <w:szCs w:val="18"/>
              </w:rPr>
              <w:t xml:space="preserve">Starting a new year in a new class.  How to adapt to change and become comfortable in a new environment. 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Safety Education- </w:t>
            </w:r>
            <w:r w:rsidRPr="007F4428">
              <w:rPr>
                <w:sz w:val="18"/>
                <w:szCs w:val="18"/>
              </w:rPr>
              <w:t>Keeping ourselves safe in different environments.</w:t>
            </w:r>
          </w:p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Water safety</w:t>
            </w:r>
          </w:p>
        </w:tc>
        <w:tc>
          <w:tcPr>
            <w:tcW w:w="1388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Getting on and Falling out- </w:t>
            </w:r>
            <w:r w:rsidRPr="007F4428">
              <w:rPr>
                <w:sz w:val="18"/>
                <w:szCs w:val="18"/>
              </w:rPr>
              <w:t xml:space="preserve">Working on relationships with others and how we can improve them over time.  </w:t>
            </w:r>
          </w:p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Anti-bullying education-  </w:t>
            </w:r>
            <w:r w:rsidRPr="007F4428">
              <w:rPr>
                <w:sz w:val="18"/>
                <w:szCs w:val="18"/>
              </w:rPr>
              <w:t>How to recognise bullying and deal with it appropriately, in and out of school.</w:t>
            </w:r>
          </w:p>
        </w:tc>
        <w:tc>
          <w:tcPr>
            <w:tcW w:w="2694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Going for Goals - recognise their self-worth and face challenges positively .and Recognise the effect of their actions on others.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3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Good to be me- to talk and write about their opinions. Reflect on current issues and be aware of different relationships. </w:t>
            </w:r>
          </w:p>
        </w:tc>
        <w:tc>
          <w:tcPr>
            <w:tcW w:w="1842" w:type="dxa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Relationships, Sex and relationship educational </w:t>
            </w:r>
          </w:p>
        </w:tc>
        <w:tc>
          <w:tcPr>
            <w:tcW w:w="1843" w:type="dxa"/>
          </w:tcPr>
          <w:p w:rsidR="00600A50" w:rsidRPr="007F4428" w:rsidRDefault="00600A50" w:rsidP="00600A50">
            <w:pPr>
              <w:rPr>
                <w:b/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Changes, personal; social and health education</w:t>
            </w:r>
          </w:p>
        </w:tc>
      </w:tr>
      <w:tr w:rsidR="00600A50" w:rsidRPr="007F4428" w:rsidTr="008B5910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4365" w:type="dxa"/>
            <w:gridSpan w:val="3"/>
          </w:tcPr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Design and make </w:t>
            </w:r>
            <w:r w:rsidR="00CD7A53">
              <w:rPr>
                <w:rFonts w:eastAsia="Times New Roman" w:cs="Times New Roman"/>
                <w:sz w:val="18"/>
                <w:szCs w:val="18"/>
                <w:lang w:eastAsia="en-GB"/>
              </w:rPr>
              <w:t>a stone age huts in the school grounds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pot making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Other opportunities throughout Topic and other lessons.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gridSpan w:val="4"/>
          </w:tcPr>
          <w:p w:rsidR="00CD7A53" w:rsidRDefault="00CD7A53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Designing and creating roman mosaics</w:t>
            </w:r>
          </w:p>
          <w:p w:rsidR="00CD7A53" w:rsidRDefault="00CD7A53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Art residential at Pixie’s holt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Art and D/T will be taught as part of Topic sessions.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Skills and techniques will be a focus. Children will also be encouraged to develop their own creative ideas.</w:t>
            </w:r>
          </w:p>
        </w:tc>
        <w:tc>
          <w:tcPr>
            <w:tcW w:w="3685" w:type="dxa"/>
            <w:gridSpan w:val="2"/>
          </w:tcPr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Drawing, painting, 3D construction,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Collage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t>D/T- make and evaluate river models.</w:t>
            </w:r>
          </w:p>
          <w:p w:rsidR="00600A50" w:rsidRPr="007F4428" w:rsidRDefault="00600A50" w:rsidP="00600A5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>Healthy eating cookery</w:t>
            </w:r>
          </w:p>
        </w:tc>
      </w:tr>
      <w:tr w:rsidR="00017E05" w:rsidRPr="007F4428" w:rsidTr="00CD7A53">
        <w:tc>
          <w:tcPr>
            <w:tcW w:w="1277" w:type="dxa"/>
          </w:tcPr>
          <w:p w:rsidR="00017E05" w:rsidRPr="007F4428" w:rsidRDefault="00017E05" w:rsidP="00600A50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1" w:colLast="5"/>
            <w:r w:rsidRPr="007F4428">
              <w:rPr>
                <w:b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2977" w:type="dxa"/>
            <w:gridSpan w:val="2"/>
          </w:tcPr>
          <w:p w:rsidR="00017E05" w:rsidRDefault="00017E05">
            <w:r w:rsidRPr="00261865">
              <w:rPr>
                <w:sz w:val="16"/>
                <w:szCs w:val="16"/>
              </w:rPr>
              <w:t xml:space="preserve">Jolie </w:t>
            </w:r>
            <w:proofErr w:type="spellStart"/>
            <w:r w:rsidRPr="00261865">
              <w:rPr>
                <w:sz w:val="16"/>
                <w:szCs w:val="16"/>
              </w:rPr>
              <w:t>Ronde</w:t>
            </w:r>
            <w:proofErr w:type="spellEnd"/>
            <w:r w:rsidRPr="002618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</w:tcPr>
          <w:p w:rsidR="00017E05" w:rsidRDefault="00017E05">
            <w:r w:rsidRPr="00261865">
              <w:rPr>
                <w:sz w:val="16"/>
                <w:szCs w:val="16"/>
              </w:rPr>
              <w:t xml:space="preserve">Jolie </w:t>
            </w:r>
            <w:proofErr w:type="spellStart"/>
            <w:r w:rsidRPr="00261865">
              <w:rPr>
                <w:sz w:val="16"/>
                <w:szCs w:val="16"/>
              </w:rPr>
              <w:t>Ronde</w:t>
            </w:r>
            <w:proofErr w:type="spellEnd"/>
            <w:r w:rsidRPr="002618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017E05" w:rsidRDefault="00017E05">
            <w:r w:rsidRPr="00261865">
              <w:rPr>
                <w:sz w:val="16"/>
                <w:szCs w:val="16"/>
              </w:rPr>
              <w:t xml:space="preserve">Jolie </w:t>
            </w:r>
            <w:proofErr w:type="spellStart"/>
            <w:r w:rsidRPr="00261865">
              <w:rPr>
                <w:sz w:val="16"/>
                <w:szCs w:val="16"/>
              </w:rPr>
              <w:t>Ronde</w:t>
            </w:r>
            <w:proofErr w:type="spellEnd"/>
            <w:r w:rsidRPr="002618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22" w:type="dxa"/>
            <w:gridSpan w:val="3"/>
          </w:tcPr>
          <w:p w:rsidR="00017E05" w:rsidRDefault="00017E05">
            <w:r w:rsidRPr="00261865">
              <w:rPr>
                <w:sz w:val="16"/>
                <w:szCs w:val="16"/>
              </w:rPr>
              <w:t xml:space="preserve">Jolie </w:t>
            </w:r>
            <w:proofErr w:type="spellStart"/>
            <w:r w:rsidRPr="00261865">
              <w:rPr>
                <w:sz w:val="16"/>
                <w:szCs w:val="16"/>
              </w:rPr>
              <w:t>Ronde</w:t>
            </w:r>
            <w:proofErr w:type="spellEnd"/>
            <w:r w:rsidRPr="002618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017E05" w:rsidRDefault="00017E05">
            <w:r w:rsidRPr="00261865">
              <w:rPr>
                <w:sz w:val="16"/>
                <w:szCs w:val="16"/>
              </w:rPr>
              <w:t xml:space="preserve">Jolie </w:t>
            </w:r>
            <w:proofErr w:type="spellStart"/>
            <w:r w:rsidRPr="00261865">
              <w:rPr>
                <w:sz w:val="16"/>
                <w:szCs w:val="16"/>
              </w:rPr>
              <w:t>Ronde</w:t>
            </w:r>
            <w:proofErr w:type="spellEnd"/>
            <w:r w:rsidRPr="00261865">
              <w:rPr>
                <w:sz w:val="16"/>
                <w:szCs w:val="16"/>
              </w:rPr>
              <w:t xml:space="preserve"> </w:t>
            </w:r>
          </w:p>
        </w:tc>
      </w:tr>
      <w:bookmarkEnd w:id="0"/>
      <w:tr w:rsidR="00600A50" w:rsidRPr="007F4428" w:rsidTr="00CD7A53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Performance opportunities</w:t>
            </w:r>
          </w:p>
        </w:tc>
        <w:tc>
          <w:tcPr>
            <w:tcW w:w="2977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Opportunities for performance occur in English through drama and hot seating.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Opportunities for performance occur in English through drama and hot seating.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Children will have the opportunity to speak and perform in a class assembly. </w:t>
            </w:r>
          </w:p>
        </w:tc>
        <w:tc>
          <w:tcPr>
            <w:tcW w:w="2694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Opportunities for performance occur in English through drama and hot seating.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Roman demonstration to the rest of the school.</w:t>
            </w:r>
          </w:p>
        </w:tc>
        <w:tc>
          <w:tcPr>
            <w:tcW w:w="2722" w:type="dxa"/>
            <w:gridSpan w:val="3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Opportunities for performance occur in English through drama and hot seating.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</w:tr>
      <w:tr w:rsidR="00600A50" w:rsidRPr="007F4428" w:rsidTr="008E3901">
        <w:tc>
          <w:tcPr>
            <w:tcW w:w="1277" w:type="dxa"/>
            <w:hideMark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>Other – including our focus on British Values</w:t>
            </w:r>
          </w:p>
        </w:tc>
        <w:tc>
          <w:tcPr>
            <w:tcW w:w="2977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Democracy- voting our school councillors.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British Values-  Celebrating our Queen being the longest reigning British monarch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Heathcoat Rocket Challenge</w:t>
            </w:r>
          </w:p>
          <w:p w:rsidR="00600A50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Rocket day – parents visit to help to construct rockets.</w:t>
            </w:r>
          </w:p>
          <w:p w:rsidR="00824637" w:rsidRPr="007F4428" w:rsidRDefault="00824637" w:rsidP="00600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BLP will be taught across the year </w:t>
            </w:r>
          </w:p>
        </w:tc>
        <w:tc>
          <w:tcPr>
            <w:tcW w:w="1388" w:type="dxa"/>
            <w:hideMark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Christmas events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Christmas Fayre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Carol Service</w:t>
            </w:r>
          </w:p>
        </w:tc>
        <w:tc>
          <w:tcPr>
            <w:tcW w:w="5416" w:type="dxa"/>
            <w:gridSpan w:val="4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Egg day- parents will join children in egg rolling activities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</w:tr>
      <w:tr w:rsidR="00600A50" w:rsidRPr="007F4428" w:rsidTr="00CD7A53">
        <w:tc>
          <w:tcPr>
            <w:tcW w:w="1277" w:type="dxa"/>
          </w:tcPr>
          <w:p w:rsidR="00600A50" w:rsidRPr="007F4428" w:rsidRDefault="00600A50" w:rsidP="00600A50">
            <w:pPr>
              <w:jc w:val="center"/>
              <w:rPr>
                <w:b/>
                <w:sz w:val="18"/>
                <w:szCs w:val="18"/>
              </w:rPr>
            </w:pPr>
            <w:r w:rsidRPr="007F4428">
              <w:rPr>
                <w:b/>
                <w:sz w:val="18"/>
                <w:szCs w:val="18"/>
              </w:rPr>
              <w:t xml:space="preserve">Trips </w:t>
            </w:r>
          </w:p>
        </w:tc>
        <w:tc>
          <w:tcPr>
            <w:tcW w:w="2977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proofErr w:type="spellStart"/>
            <w:r w:rsidRPr="007F4428">
              <w:rPr>
                <w:sz w:val="18"/>
                <w:szCs w:val="18"/>
              </w:rPr>
              <w:t>Kents</w:t>
            </w:r>
            <w:proofErr w:type="spellEnd"/>
            <w:r w:rsidRPr="007F4428">
              <w:rPr>
                <w:sz w:val="18"/>
                <w:szCs w:val="18"/>
              </w:rPr>
              <w:t xml:space="preserve"> Cavern </w:t>
            </w:r>
          </w:p>
          <w:p w:rsidR="00600A50" w:rsidRPr="007F4428" w:rsidRDefault="003B500C" w:rsidP="00600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Theatre Alibi </w:t>
            </w:r>
          </w:p>
        </w:tc>
        <w:tc>
          <w:tcPr>
            <w:tcW w:w="1388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 xml:space="preserve">Roman workshop </w:t>
            </w:r>
          </w:p>
          <w:p w:rsidR="00600A50" w:rsidRPr="007F4428" w:rsidRDefault="00600A50" w:rsidP="00600A50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3"/>
          </w:tcPr>
          <w:p w:rsidR="00600A50" w:rsidRPr="007F4428" w:rsidRDefault="00CD7A53" w:rsidP="003B5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Pixie’s holt residential </w:t>
            </w:r>
          </w:p>
        </w:tc>
        <w:tc>
          <w:tcPr>
            <w:tcW w:w="3685" w:type="dxa"/>
            <w:gridSpan w:val="2"/>
          </w:tcPr>
          <w:p w:rsidR="00600A50" w:rsidRPr="007F4428" w:rsidRDefault="00600A50" w:rsidP="00600A50">
            <w:pPr>
              <w:rPr>
                <w:sz w:val="18"/>
                <w:szCs w:val="18"/>
              </w:rPr>
            </w:pPr>
            <w:r w:rsidRPr="007F4428">
              <w:rPr>
                <w:sz w:val="18"/>
                <w:szCs w:val="18"/>
              </w:rPr>
              <w:t>Canal and river walks</w:t>
            </w:r>
          </w:p>
        </w:tc>
      </w:tr>
    </w:tbl>
    <w:p w:rsidR="007C34B1" w:rsidRDefault="007C34B1" w:rsidP="00AF287D">
      <w:pPr>
        <w:rPr>
          <w:b/>
          <w:i/>
          <w:sz w:val="24"/>
          <w:szCs w:val="24"/>
        </w:rPr>
      </w:pPr>
    </w:p>
    <w:sectPr w:rsidR="007C34B1" w:rsidSect="00E23D1C">
      <w:head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2D" w:rsidRDefault="0049212D" w:rsidP="00AF287D">
      <w:pPr>
        <w:spacing w:after="0" w:line="240" w:lineRule="auto"/>
      </w:pPr>
      <w:r>
        <w:separator/>
      </w:r>
    </w:p>
  </w:endnote>
  <w:endnote w:type="continuationSeparator" w:id="0">
    <w:p w:rsidR="0049212D" w:rsidRDefault="0049212D" w:rsidP="00A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2D" w:rsidRDefault="0049212D" w:rsidP="00AF287D">
      <w:pPr>
        <w:spacing w:after="0" w:line="240" w:lineRule="auto"/>
      </w:pPr>
      <w:r>
        <w:separator/>
      </w:r>
    </w:p>
  </w:footnote>
  <w:footnote w:type="continuationSeparator" w:id="0">
    <w:p w:rsidR="0049212D" w:rsidRDefault="0049212D" w:rsidP="00A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57" w:rsidRPr="005F117E" w:rsidRDefault="006D4957" w:rsidP="00AF287D">
    <w:pPr>
      <w:pStyle w:val="Header"/>
      <w:jc w:val="center"/>
      <w:rPr>
        <w:i/>
        <w:color w:val="0070C0"/>
        <w:sz w:val="40"/>
        <w:szCs w:val="40"/>
      </w:rPr>
    </w:pPr>
    <w:r w:rsidRPr="006E4834">
      <w:rPr>
        <w:i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7779551" wp14:editId="61A80649">
          <wp:simplePos x="0" y="0"/>
          <wp:positionH relativeFrom="column">
            <wp:posOffset>327546</wp:posOffset>
          </wp:positionH>
          <wp:positionV relativeFrom="paragraph">
            <wp:posOffset>-217568</wp:posOffset>
          </wp:positionV>
          <wp:extent cx="655093" cy="726744"/>
          <wp:effectExtent l="0" t="0" r="0" b="0"/>
          <wp:wrapNone/>
          <wp:docPr id="1" name="Picture 1" descr="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67" cy="72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6D4957" w:rsidRPr="00AF287D" w:rsidRDefault="006D4957" w:rsidP="00AF2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7D"/>
    <w:rsid w:val="00017E05"/>
    <w:rsid w:val="00046624"/>
    <w:rsid w:val="00100DC6"/>
    <w:rsid w:val="0017297C"/>
    <w:rsid w:val="001A7B26"/>
    <w:rsid w:val="00315ED5"/>
    <w:rsid w:val="0036653C"/>
    <w:rsid w:val="003B500C"/>
    <w:rsid w:val="003D3D8C"/>
    <w:rsid w:val="00467C99"/>
    <w:rsid w:val="0049212D"/>
    <w:rsid w:val="0050412D"/>
    <w:rsid w:val="005204B6"/>
    <w:rsid w:val="0053435B"/>
    <w:rsid w:val="00600A50"/>
    <w:rsid w:val="006D4957"/>
    <w:rsid w:val="006F2EB6"/>
    <w:rsid w:val="006F7D52"/>
    <w:rsid w:val="00710AA3"/>
    <w:rsid w:val="00764C1F"/>
    <w:rsid w:val="0078203D"/>
    <w:rsid w:val="007C34B1"/>
    <w:rsid w:val="007F1322"/>
    <w:rsid w:val="007F4428"/>
    <w:rsid w:val="00810041"/>
    <w:rsid w:val="00816059"/>
    <w:rsid w:val="00824637"/>
    <w:rsid w:val="00893C3A"/>
    <w:rsid w:val="008A1F67"/>
    <w:rsid w:val="008B5910"/>
    <w:rsid w:val="008F70CF"/>
    <w:rsid w:val="00A610B5"/>
    <w:rsid w:val="00AF287D"/>
    <w:rsid w:val="00B04C8A"/>
    <w:rsid w:val="00B2727F"/>
    <w:rsid w:val="00CD7A53"/>
    <w:rsid w:val="00DA4169"/>
    <w:rsid w:val="00DA52D0"/>
    <w:rsid w:val="00E23D1C"/>
    <w:rsid w:val="00E80476"/>
    <w:rsid w:val="00E86C39"/>
    <w:rsid w:val="00F05EB8"/>
    <w:rsid w:val="00F52474"/>
    <w:rsid w:val="00F841C5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7D"/>
  </w:style>
  <w:style w:type="paragraph" w:styleId="Footer">
    <w:name w:val="footer"/>
    <w:basedOn w:val="Normal"/>
    <w:link w:val="Foot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7D"/>
  </w:style>
  <w:style w:type="table" w:styleId="TableGrid">
    <w:name w:val="Table Grid"/>
    <w:basedOn w:val="TableNormal"/>
    <w:uiPriority w:val="59"/>
    <w:rsid w:val="00AF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7D"/>
  </w:style>
  <w:style w:type="paragraph" w:styleId="Footer">
    <w:name w:val="footer"/>
    <w:basedOn w:val="Normal"/>
    <w:link w:val="Foot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7D"/>
  </w:style>
  <w:style w:type="table" w:styleId="TableGrid">
    <w:name w:val="Table Grid"/>
    <w:basedOn w:val="TableNormal"/>
    <w:uiPriority w:val="59"/>
    <w:rsid w:val="00AF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65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BCDE-0C56-41EA-8434-BCE8864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keller</dc:creator>
  <cp:lastModifiedBy>Support</cp:lastModifiedBy>
  <cp:revision>7</cp:revision>
  <cp:lastPrinted>2017-09-08T13:43:00Z</cp:lastPrinted>
  <dcterms:created xsi:type="dcterms:W3CDTF">2017-09-04T13:33:00Z</dcterms:created>
  <dcterms:modified xsi:type="dcterms:W3CDTF">2017-09-09T18:07:00Z</dcterms:modified>
</cp:coreProperties>
</file>