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8C" w:rsidRPr="005A338C" w:rsidRDefault="005A338C" w:rsidP="005A338C">
      <w:pPr>
        <w:tabs>
          <w:tab w:val="left" w:pos="3120"/>
          <w:tab w:val="center" w:pos="4107"/>
        </w:tabs>
        <w:spacing w:after="0"/>
        <w:jc w:val="center"/>
        <w:rPr>
          <w:sz w:val="24"/>
        </w:rPr>
      </w:pPr>
      <w:bookmarkStart w:id="0" w:name="_GoBack"/>
      <w:bookmarkEnd w:id="0"/>
      <w:r w:rsidRPr="005A338C">
        <w:rPr>
          <w:sz w:val="24"/>
        </w:rPr>
        <w:t>Heathcoat Primary School</w:t>
      </w:r>
    </w:p>
    <w:p w:rsidR="005A338C" w:rsidRPr="00F90383" w:rsidRDefault="005A338C" w:rsidP="005A338C">
      <w:pPr>
        <w:tabs>
          <w:tab w:val="left" w:pos="3120"/>
          <w:tab w:val="center" w:pos="4107"/>
        </w:tabs>
        <w:spacing w:after="0"/>
        <w:jc w:val="center"/>
        <w:rPr>
          <w:b/>
          <w:sz w:val="24"/>
          <w:u w:val="single"/>
        </w:rPr>
      </w:pPr>
      <w:r w:rsidRPr="00F90383">
        <w:rPr>
          <w:b/>
          <w:noProof/>
          <w:sz w:val="24"/>
          <w:u w:val="single"/>
          <w:lang w:val="en-GB" w:eastAsia="en-GB"/>
        </w:rPr>
        <w:drawing>
          <wp:anchor distT="0" distB="0" distL="114300" distR="114300" simplePos="0" relativeHeight="251666432" behindDoc="1" locked="0" layoutInCell="1" allowOverlap="1" wp14:anchorId="2813DBA0" wp14:editId="1CDD41EC">
            <wp:simplePos x="0" y="0"/>
            <wp:positionH relativeFrom="margin">
              <wp:align>left</wp:align>
            </wp:positionH>
            <wp:positionV relativeFrom="paragraph">
              <wp:posOffset>398</wp:posOffset>
            </wp:positionV>
            <wp:extent cx="433705" cy="490855"/>
            <wp:effectExtent l="0" t="0" r="4445" b="4445"/>
            <wp:wrapThrough wrapText="bothSides">
              <wp:wrapPolygon edited="0">
                <wp:start x="0" y="0"/>
                <wp:lineTo x="0" y="15089"/>
                <wp:lineTo x="5693" y="20957"/>
                <wp:lineTo x="7590" y="20957"/>
                <wp:lineTo x="11385" y="20957"/>
                <wp:lineTo x="13283" y="20957"/>
                <wp:lineTo x="18975" y="15089"/>
                <wp:lineTo x="20873" y="6706"/>
                <wp:lineTo x="208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l="18775" t="16257" r="17621" b="19837"/>
                    <a:stretch>
                      <a:fillRect/>
                    </a:stretch>
                  </pic:blipFill>
                  <pic:spPr bwMode="auto">
                    <a:xfrm>
                      <a:off x="0" y="0"/>
                      <a:ext cx="433705" cy="490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0383">
        <w:rPr>
          <w:b/>
          <w:noProof/>
          <w:sz w:val="24"/>
          <w:u w:val="single"/>
          <w:lang w:val="en-GB" w:eastAsia="en-GB"/>
        </w:rPr>
        <w:drawing>
          <wp:anchor distT="0" distB="0" distL="114300" distR="114300" simplePos="0" relativeHeight="251667456" behindDoc="1" locked="0" layoutInCell="1" allowOverlap="1" wp14:anchorId="6F36C86F" wp14:editId="23B43207">
            <wp:simplePos x="0" y="0"/>
            <wp:positionH relativeFrom="margin">
              <wp:align>right</wp:align>
            </wp:positionH>
            <wp:positionV relativeFrom="paragraph">
              <wp:posOffset>0</wp:posOffset>
            </wp:positionV>
            <wp:extent cx="446405" cy="504825"/>
            <wp:effectExtent l="0" t="0" r="0" b="9525"/>
            <wp:wrapThrough wrapText="bothSides">
              <wp:wrapPolygon edited="0">
                <wp:start x="0" y="0"/>
                <wp:lineTo x="0" y="14672"/>
                <wp:lineTo x="5531" y="21192"/>
                <wp:lineTo x="7374" y="21192"/>
                <wp:lineTo x="11061" y="21192"/>
                <wp:lineTo x="12905" y="21192"/>
                <wp:lineTo x="19357" y="13042"/>
                <wp:lineTo x="20279" y="4891"/>
                <wp:lineTo x="20279"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blip>
                    <a:srcRect l="18775" t="16257" r="17621" b="19837"/>
                    <a:stretch>
                      <a:fillRect/>
                    </a:stretch>
                  </pic:blipFill>
                  <pic:spPr bwMode="auto">
                    <a:xfrm>
                      <a:off x="0" y="0"/>
                      <a:ext cx="446405"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0383">
        <w:rPr>
          <w:i/>
          <w:color w:val="1F497D" w:themeColor="text2"/>
          <w:sz w:val="24"/>
        </w:rPr>
        <w:t>Aspiring to achieve our best, moving forward together</w:t>
      </w:r>
      <w:r>
        <w:rPr>
          <w:i/>
          <w:color w:val="1F497D" w:themeColor="text2"/>
          <w:sz w:val="24"/>
        </w:rPr>
        <w:t xml:space="preserve"> </w:t>
      </w:r>
    </w:p>
    <w:p w:rsidR="005A338C" w:rsidRDefault="005A338C" w:rsidP="005A338C">
      <w:pPr>
        <w:spacing w:after="0"/>
        <w:jc w:val="center"/>
        <w:rPr>
          <w:sz w:val="18"/>
        </w:rPr>
      </w:pPr>
      <w:r>
        <w:rPr>
          <w:b/>
          <w:sz w:val="24"/>
        </w:rPr>
        <w:t>PE and Sport Premium - Financial Breakdown 2018-2019</w:t>
      </w:r>
    </w:p>
    <w:p w:rsidR="005A338C" w:rsidRDefault="005A338C" w:rsidP="00F90383">
      <w:pPr>
        <w:spacing w:after="0"/>
        <w:rPr>
          <w:sz w:val="18"/>
        </w:rPr>
      </w:pPr>
    </w:p>
    <w:tbl>
      <w:tblPr>
        <w:tblStyle w:val="TableGrid"/>
        <w:tblW w:w="11199" w:type="dxa"/>
        <w:tblInd w:w="-289" w:type="dxa"/>
        <w:tblLook w:val="04A0" w:firstRow="1" w:lastRow="0" w:firstColumn="1" w:lastColumn="0" w:noHBand="0" w:noVBand="1"/>
      </w:tblPr>
      <w:tblGrid>
        <w:gridCol w:w="2904"/>
        <w:gridCol w:w="1311"/>
        <w:gridCol w:w="4433"/>
        <w:gridCol w:w="2551"/>
      </w:tblGrid>
      <w:tr w:rsidR="005A338C" w:rsidTr="004A166C">
        <w:trPr>
          <w:trHeight w:val="553"/>
        </w:trPr>
        <w:tc>
          <w:tcPr>
            <w:tcW w:w="11199" w:type="dxa"/>
            <w:gridSpan w:val="4"/>
          </w:tcPr>
          <w:p w:rsidR="005A338C" w:rsidRPr="00142448" w:rsidRDefault="005A338C" w:rsidP="005A338C">
            <w:pPr>
              <w:spacing w:after="0"/>
              <w:rPr>
                <w:b/>
                <w:sz w:val="24"/>
                <w:szCs w:val="24"/>
              </w:rPr>
            </w:pPr>
            <w:r w:rsidRPr="00142448">
              <w:rPr>
                <w:b/>
                <w:sz w:val="24"/>
                <w:szCs w:val="24"/>
              </w:rPr>
              <w:t xml:space="preserve">Subject Leader: Mrs C Soper                                 Total PE and Sport Premium Allocation: </w:t>
            </w:r>
            <w:r w:rsidRPr="00142448">
              <w:rPr>
                <w:b/>
                <w:sz w:val="24"/>
                <w:szCs w:val="24"/>
                <w:highlight w:val="yellow"/>
              </w:rPr>
              <w:t>Total £ 18,574</w:t>
            </w:r>
            <w:r w:rsidRPr="00142448">
              <w:rPr>
                <w:b/>
                <w:sz w:val="24"/>
                <w:szCs w:val="24"/>
              </w:rPr>
              <w:t xml:space="preserve">      </w:t>
            </w:r>
          </w:p>
          <w:p w:rsidR="005A338C" w:rsidRPr="005A338C" w:rsidRDefault="005A338C" w:rsidP="005A338C">
            <w:pPr>
              <w:spacing w:after="0"/>
              <w:rPr>
                <w:b/>
                <w:sz w:val="24"/>
              </w:rPr>
            </w:pPr>
            <w:r w:rsidRPr="00142448">
              <w:rPr>
                <w:b/>
                <w:sz w:val="24"/>
                <w:szCs w:val="24"/>
              </w:rPr>
              <w:t xml:space="preserve">                                                                                     (7/12 received Nov 2017 10,557 + 8/12 April 2018  £8017)</w:t>
            </w:r>
          </w:p>
        </w:tc>
      </w:tr>
      <w:tr w:rsidR="005A338C" w:rsidTr="001661DE">
        <w:trPr>
          <w:trHeight w:val="553"/>
        </w:trPr>
        <w:tc>
          <w:tcPr>
            <w:tcW w:w="2904" w:type="dxa"/>
            <w:vAlign w:val="center"/>
          </w:tcPr>
          <w:p w:rsidR="005A338C" w:rsidRPr="005A338C" w:rsidRDefault="005A338C" w:rsidP="008603B8">
            <w:pPr>
              <w:spacing w:after="0"/>
              <w:jc w:val="center"/>
              <w:rPr>
                <w:b/>
                <w:sz w:val="24"/>
                <w:szCs w:val="24"/>
              </w:rPr>
            </w:pPr>
            <w:r w:rsidRPr="005A338C">
              <w:rPr>
                <w:b/>
                <w:sz w:val="24"/>
                <w:szCs w:val="24"/>
              </w:rPr>
              <w:t>Area</w:t>
            </w:r>
          </w:p>
        </w:tc>
        <w:tc>
          <w:tcPr>
            <w:tcW w:w="1311" w:type="dxa"/>
            <w:vAlign w:val="center"/>
          </w:tcPr>
          <w:p w:rsidR="005A338C" w:rsidRPr="005A338C" w:rsidRDefault="005A338C" w:rsidP="008603B8">
            <w:pPr>
              <w:spacing w:after="0"/>
              <w:jc w:val="center"/>
              <w:rPr>
                <w:b/>
                <w:sz w:val="24"/>
                <w:szCs w:val="24"/>
              </w:rPr>
            </w:pPr>
            <w:r w:rsidRPr="005A338C">
              <w:rPr>
                <w:b/>
                <w:sz w:val="24"/>
                <w:szCs w:val="24"/>
              </w:rPr>
              <w:t>Allocated Funding</w:t>
            </w:r>
          </w:p>
        </w:tc>
        <w:tc>
          <w:tcPr>
            <w:tcW w:w="4433" w:type="dxa"/>
            <w:vAlign w:val="center"/>
          </w:tcPr>
          <w:p w:rsidR="005A338C" w:rsidRPr="005A338C" w:rsidRDefault="005A338C" w:rsidP="008603B8">
            <w:pPr>
              <w:spacing w:after="0"/>
              <w:jc w:val="center"/>
              <w:rPr>
                <w:b/>
                <w:sz w:val="24"/>
              </w:rPr>
            </w:pPr>
            <w:r w:rsidRPr="005A338C">
              <w:rPr>
                <w:b/>
                <w:sz w:val="24"/>
              </w:rPr>
              <w:t>Detail</w:t>
            </w:r>
          </w:p>
        </w:tc>
        <w:tc>
          <w:tcPr>
            <w:tcW w:w="2551" w:type="dxa"/>
            <w:vAlign w:val="center"/>
          </w:tcPr>
          <w:p w:rsidR="005A338C" w:rsidRPr="005A338C" w:rsidRDefault="005A338C" w:rsidP="008603B8">
            <w:pPr>
              <w:spacing w:after="0"/>
              <w:jc w:val="center"/>
              <w:rPr>
                <w:b/>
                <w:sz w:val="24"/>
              </w:rPr>
            </w:pPr>
            <w:r w:rsidRPr="005A338C">
              <w:rPr>
                <w:b/>
                <w:sz w:val="24"/>
              </w:rPr>
              <w:t>Impact</w:t>
            </w:r>
          </w:p>
        </w:tc>
      </w:tr>
      <w:tr w:rsidR="00C109BA" w:rsidTr="001661DE">
        <w:trPr>
          <w:trHeight w:val="3593"/>
        </w:trPr>
        <w:tc>
          <w:tcPr>
            <w:tcW w:w="2904" w:type="dxa"/>
            <w:vAlign w:val="center"/>
          </w:tcPr>
          <w:p w:rsidR="00C109BA" w:rsidRPr="00142448" w:rsidRDefault="00C109BA" w:rsidP="00B27A8E">
            <w:pPr>
              <w:spacing w:after="0"/>
              <w:rPr>
                <w:b/>
                <w:sz w:val="24"/>
                <w:szCs w:val="24"/>
              </w:rPr>
            </w:pPr>
            <w:r w:rsidRPr="00142448">
              <w:rPr>
                <w:b/>
                <w:sz w:val="24"/>
                <w:szCs w:val="24"/>
              </w:rPr>
              <w:t>Pupil achievement and progress</w:t>
            </w:r>
            <w:r w:rsidR="00B27A8E">
              <w:rPr>
                <w:b/>
                <w:sz w:val="24"/>
                <w:szCs w:val="24"/>
              </w:rPr>
              <w:t>/</w:t>
            </w:r>
            <w:r w:rsidRPr="00142448">
              <w:rPr>
                <w:b/>
                <w:sz w:val="24"/>
                <w:szCs w:val="24"/>
              </w:rPr>
              <w:t>Teaching and learning, assessment and planning</w:t>
            </w:r>
            <w:r>
              <w:rPr>
                <w:b/>
                <w:sz w:val="24"/>
                <w:szCs w:val="24"/>
              </w:rPr>
              <w:t>/</w:t>
            </w:r>
            <w:r w:rsidRPr="00142448">
              <w:rPr>
                <w:b/>
                <w:sz w:val="24"/>
                <w:szCs w:val="24"/>
              </w:rPr>
              <w:t>Staff support and training</w:t>
            </w:r>
          </w:p>
        </w:tc>
        <w:tc>
          <w:tcPr>
            <w:tcW w:w="1311" w:type="dxa"/>
            <w:vAlign w:val="center"/>
          </w:tcPr>
          <w:p w:rsidR="00C109BA" w:rsidRPr="00F433F9" w:rsidRDefault="00C109BA" w:rsidP="00C109BA">
            <w:pPr>
              <w:spacing w:after="0"/>
              <w:jc w:val="center"/>
              <w:rPr>
                <w:b/>
                <w:sz w:val="24"/>
                <w:szCs w:val="24"/>
              </w:rPr>
            </w:pPr>
            <w:r>
              <w:rPr>
                <w:b/>
                <w:sz w:val="24"/>
                <w:szCs w:val="24"/>
              </w:rPr>
              <w:t>£5000</w:t>
            </w:r>
          </w:p>
        </w:tc>
        <w:tc>
          <w:tcPr>
            <w:tcW w:w="4433" w:type="dxa"/>
          </w:tcPr>
          <w:p w:rsidR="00C109BA" w:rsidRDefault="00C109BA" w:rsidP="00C109BA">
            <w:pPr>
              <w:spacing w:after="0"/>
              <w:rPr>
                <w:sz w:val="20"/>
                <w:szCs w:val="23"/>
              </w:rPr>
            </w:pPr>
            <w:r w:rsidRPr="00BD1C41">
              <w:rPr>
                <w:sz w:val="20"/>
                <w:szCs w:val="23"/>
              </w:rPr>
              <w:t xml:space="preserve">One </w:t>
            </w:r>
            <w:r>
              <w:rPr>
                <w:sz w:val="20"/>
                <w:szCs w:val="23"/>
              </w:rPr>
              <w:t>morning a</w:t>
            </w:r>
            <w:r w:rsidRPr="00BD1C41">
              <w:rPr>
                <w:sz w:val="20"/>
                <w:szCs w:val="23"/>
              </w:rPr>
              <w:t xml:space="preserve"> week over 38 weeks of the year to cover PE Subject Leader</w:t>
            </w:r>
            <w:r w:rsidR="00C473E8">
              <w:rPr>
                <w:sz w:val="20"/>
                <w:szCs w:val="23"/>
              </w:rPr>
              <w:t xml:space="preserve"> from their </w:t>
            </w:r>
            <w:r w:rsidRPr="00BD1C41">
              <w:rPr>
                <w:sz w:val="20"/>
                <w:szCs w:val="23"/>
              </w:rPr>
              <w:t>full time teaching commitments to support, plan, and train staff with delivery of high quality PE lessons.</w:t>
            </w:r>
            <w:r>
              <w:rPr>
                <w:sz w:val="20"/>
                <w:szCs w:val="23"/>
              </w:rPr>
              <w:t xml:space="preserve"> </w:t>
            </w:r>
            <w:r w:rsidR="00C473E8">
              <w:rPr>
                <w:sz w:val="20"/>
                <w:szCs w:val="23"/>
              </w:rPr>
              <w:t>Subject Leader uses this time to o</w:t>
            </w:r>
            <w:r>
              <w:rPr>
                <w:sz w:val="20"/>
                <w:szCs w:val="23"/>
              </w:rPr>
              <w:t>bserv</w:t>
            </w:r>
            <w:r w:rsidR="00C473E8">
              <w:rPr>
                <w:sz w:val="20"/>
                <w:szCs w:val="23"/>
              </w:rPr>
              <w:t>e</w:t>
            </w:r>
            <w:r>
              <w:rPr>
                <w:sz w:val="20"/>
                <w:szCs w:val="23"/>
              </w:rPr>
              <w:t xml:space="preserve"> and </w:t>
            </w:r>
            <w:r w:rsidR="000B1A53">
              <w:rPr>
                <w:sz w:val="20"/>
                <w:szCs w:val="23"/>
              </w:rPr>
              <w:t>gather</w:t>
            </w:r>
            <w:r>
              <w:rPr>
                <w:sz w:val="20"/>
                <w:szCs w:val="23"/>
              </w:rPr>
              <w:t xml:space="preserve"> evidence from staff delivering the new REAL PE programme introduced </w:t>
            </w:r>
            <w:r w:rsidR="000B1A53">
              <w:rPr>
                <w:sz w:val="20"/>
                <w:szCs w:val="23"/>
              </w:rPr>
              <w:t>into KS1 October 2017 and</w:t>
            </w:r>
            <w:r>
              <w:rPr>
                <w:sz w:val="20"/>
                <w:szCs w:val="23"/>
              </w:rPr>
              <w:t xml:space="preserve"> KS2 </w:t>
            </w:r>
            <w:r w:rsidR="000B1A53">
              <w:rPr>
                <w:sz w:val="20"/>
                <w:szCs w:val="23"/>
              </w:rPr>
              <w:t xml:space="preserve">in </w:t>
            </w:r>
            <w:r>
              <w:rPr>
                <w:sz w:val="20"/>
                <w:szCs w:val="23"/>
              </w:rPr>
              <w:t xml:space="preserve">March 2018. </w:t>
            </w:r>
          </w:p>
          <w:p w:rsidR="004E0ECB" w:rsidRDefault="004E0ECB" w:rsidP="00C109BA">
            <w:pPr>
              <w:spacing w:after="0"/>
              <w:rPr>
                <w:sz w:val="20"/>
                <w:szCs w:val="23"/>
              </w:rPr>
            </w:pPr>
            <w:r>
              <w:rPr>
                <w:sz w:val="20"/>
                <w:szCs w:val="23"/>
              </w:rPr>
              <w:t xml:space="preserve">All pupils across Reception through to Year 6 are timetabled for two hours of PE a week with indoor and outdoor provision. Nursery follow the Leap into Life scheme working towards all children achieving their Early Learning Goals before moving </w:t>
            </w:r>
            <w:r w:rsidR="000B1A53">
              <w:rPr>
                <w:sz w:val="20"/>
                <w:szCs w:val="23"/>
              </w:rPr>
              <w:t>up to</w:t>
            </w:r>
            <w:r>
              <w:rPr>
                <w:sz w:val="20"/>
                <w:szCs w:val="23"/>
              </w:rPr>
              <w:t xml:space="preserve"> Reception.</w:t>
            </w:r>
          </w:p>
          <w:p w:rsidR="00ED3DAD" w:rsidRDefault="00ED3DAD" w:rsidP="00942258">
            <w:pPr>
              <w:spacing w:after="0"/>
              <w:rPr>
                <w:sz w:val="20"/>
                <w:szCs w:val="23"/>
              </w:rPr>
            </w:pPr>
            <w:r>
              <w:rPr>
                <w:sz w:val="20"/>
                <w:szCs w:val="23"/>
              </w:rPr>
              <w:t>Subject Leader attends local seminars</w:t>
            </w:r>
            <w:r w:rsidR="00942258">
              <w:rPr>
                <w:sz w:val="20"/>
                <w:szCs w:val="23"/>
              </w:rPr>
              <w:t xml:space="preserve"> </w:t>
            </w:r>
            <w:r w:rsidR="00942258" w:rsidRPr="00BD1C41">
              <w:rPr>
                <w:sz w:val="20"/>
                <w:szCs w:val="23"/>
              </w:rPr>
              <w:t>local seminars and training to maintain their own professional development and awareness of PE, in order to facilitate high standards of primary physical education</w:t>
            </w:r>
            <w:r w:rsidR="00942258">
              <w:rPr>
                <w:sz w:val="20"/>
                <w:szCs w:val="23"/>
              </w:rPr>
              <w:t>.</w:t>
            </w:r>
            <w:r>
              <w:rPr>
                <w:sz w:val="20"/>
                <w:szCs w:val="23"/>
              </w:rPr>
              <w:t xml:space="preserve"> In September 2018 CPD delivering Real Gym.</w:t>
            </w:r>
          </w:p>
          <w:p w:rsidR="00942258" w:rsidRDefault="00942258" w:rsidP="00942258">
            <w:pPr>
              <w:spacing w:after="0"/>
              <w:rPr>
                <w:sz w:val="18"/>
              </w:rPr>
            </w:pPr>
            <w:r>
              <w:rPr>
                <w:sz w:val="20"/>
                <w:szCs w:val="23"/>
              </w:rPr>
              <w:t>Minibus qualification to transport teams to and from events/fixtures.</w:t>
            </w:r>
          </w:p>
        </w:tc>
        <w:tc>
          <w:tcPr>
            <w:tcW w:w="2551" w:type="dxa"/>
          </w:tcPr>
          <w:p w:rsidR="00C109BA" w:rsidRDefault="00C109BA" w:rsidP="00F90383">
            <w:pPr>
              <w:spacing w:after="0"/>
              <w:rPr>
                <w:sz w:val="18"/>
              </w:rPr>
            </w:pPr>
            <w:r>
              <w:rPr>
                <w:sz w:val="18"/>
              </w:rPr>
              <w:t>Each year group to follow their age related curriculum map and sending data of children’s progress in the form of the focus cog (linked to building learning power) and 2 fundamental skills areas.</w:t>
            </w:r>
          </w:p>
          <w:p w:rsidR="00C109BA" w:rsidRDefault="00C109BA" w:rsidP="00ED3DAD">
            <w:pPr>
              <w:spacing w:after="0"/>
              <w:rPr>
                <w:sz w:val="18"/>
              </w:rPr>
            </w:pPr>
            <w:r>
              <w:rPr>
                <w:sz w:val="18"/>
              </w:rPr>
              <w:t xml:space="preserve">New assessment PE Wheel to be </w:t>
            </w:r>
            <w:r w:rsidR="000B1A53">
              <w:rPr>
                <w:sz w:val="18"/>
              </w:rPr>
              <w:t>introduced September</w:t>
            </w:r>
            <w:r>
              <w:rPr>
                <w:sz w:val="18"/>
              </w:rPr>
              <w:t xml:space="preserve"> 2018 to track progress across the FUNS from Year 1 through to Year 6.</w:t>
            </w:r>
            <w:r w:rsidR="002E47E5">
              <w:rPr>
                <w:sz w:val="18"/>
              </w:rPr>
              <w:t xml:space="preserve"> The new scheme is stage not age. Our vision is for all children to be competent across all twelve fundamental skill areas so they can apply these transferable skills to </w:t>
            </w:r>
            <w:r w:rsidR="007A500F">
              <w:rPr>
                <w:sz w:val="18"/>
              </w:rPr>
              <w:t>a</w:t>
            </w:r>
            <w:r w:rsidR="002E47E5">
              <w:rPr>
                <w:sz w:val="18"/>
              </w:rPr>
              <w:t>ctively participate in any sporting activity.</w:t>
            </w:r>
            <w:r w:rsidR="007A500F">
              <w:rPr>
                <w:sz w:val="18"/>
              </w:rPr>
              <w:t xml:space="preserve"> </w:t>
            </w:r>
          </w:p>
          <w:p w:rsidR="00942258" w:rsidRDefault="00942258" w:rsidP="00942258">
            <w:pPr>
              <w:spacing w:after="0"/>
              <w:rPr>
                <w:sz w:val="18"/>
              </w:rPr>
            </w:pPr>
            <w:r>
              <w:rPr>
                <w:sz w:val="20"/>
                <w:szCs w:val="23"/>
              </w:rPr>
              <w:t>Subject Leader deliver CPD sessions in staff meetings to update and support colleagues with planning and assessment.</w:t>
            </w:r>
          </w:p>
        </w:tc>
      </w:tr>
      <w:tr w:rsidR="005A338C" w:rsidTr="001661DE">
        <w:trPr>
          <w:trHeight w:val="1070"/>
        </w:trPr>
        <w:tc>
          <w:tcPr>
            <w:tcW w:w="2904" w:type="dxa"/>
            <w:vAlign w:val="center"/>
          </w:tcPr>
          <w:p w:rsidR="005A338C" w:rsidRPr="00142448" w:rsidRDefault="005A338C" w:rsidP="008603B8">
            <w:pPr>
              <w:spacing w:after="0"/>
              <w:rPr>
                <w:b/>
                <w:sz w:val="24"/>
                <w:szCs w:val="24"/>
              </w:rPr>
            </w:pPr>
            <w:r w:rsidRPr="00142448">
              <w:rPr>
                <w:b/>
                <w:sz w:val="24"/>
                <w:szCs w:val="24"/>
              </w:rPr>
              <w:t>Inclusion, engagement and school culture</w:t>
            </w:r>
          </w:p>
        </w:tc>
        <w:tc>
          <w:tcPr>
            <w:tcW w:w="1311" w:type="dxa"/>
            <w:vAlign w:val="center"/>
          </w:tcPr>
          <w:p w:rsidR="005A338C" w:rsidRPr="00F433F9" w:rsidRDefault="00942258" w:rsidP="00F433F9">
            <w:pPr>
              <w:spacing w:after="0"/>
              <w:jc w:val="center"/>
              <w:rPr>
                <w:b/>
                <w:sz w:val="24"/>
                <w:szCs w:val="24"/>
              </w:rPr>
            </w:pPr>
            <w:r>
              <w:rPr>
                <w:b/>
                <w:sz w:val="24"/>
                <w:szCs w:val="24"/>
              </w:rPr>
              <w:t>£2000</w:t>
            </w:r>
          </w:p>
        </w:tc>
        <w:tc>
          <w:tcPr>
            <w:tcW w:w="4433" w:type="dxa"/>
          </w:tcPr>
          <w:p w:rsidR="005A338C" w:rsidRDefault="00942258" w:rsidP="00F90383">
            <w:pPr>
              <w:spacing w:after="0"/>
              <w:rPr>
                <w:sz w:val="20"/>
                <w:szCs w:val="23"/>
              </w:rPr>
            </w:pPr>
            <w:r w:rsidRPr="00BD1C41">
              <w:rPr>
                <w:sz w:val="20"/>
                <w:szCs w:val="23"/>
              </w:rPr>
              <w:t>PE Curriculum resources and extra-curricular activities are equipped with enough resources to develop children’s progress and not impeded by poor o</w:t>
            </w:r>
            <w:r>
              <w:rPr>
                <w:sz w:val="20"/>
                <w:szCs w:val="23"/>
              </w:rPr>
              <w:t>r inadequate amount of equipment.</w:t>
            </w:r>
          </w:p>
          <w:p w:rsidR="00C473E8" w:rsidRDefault="00C473E8" w:rsidP="00C473E8">
            <w:pPr>
              <w:pStyle w:val="Default"/>
              <w:rPr>
                <w:rFonts w:ascii="Calibri" w:hAnsi="Calibri"/>
                <w:sz w:val="20"/>
                <w:szCs w:val="23"/>
              </w:rPr>
            </w:pPr>
            <w:r w:rsidRPr="00C473E8">
              <w:rPr>
                <w:rFonts w:ascii="Calibri" w:hAnsi="Calibri"/>
                <w:sz w:val="20"/>
                <w:szCs w:val="23"/>
              </w:rPr>
              <w:t>Inviting Team GB/Olympic competitors into to school as part of the Sports for Champion programme to inspire our pupils to lead a healthier lifestyle.</w:t>
            </w:r>
          </w:p>
          <w:p w:rsidR="00C473E8" w:rsidRPr="00C473E8" w:rsidRDefault="00C473E8" w:rsidP="00C473E8">
            <w:pPr>
              <w:pStyle w:val="Default"/>
              <w:rPr>
                <w:rFonts w:ascii="Calibri" w:hAnsi="Calibri"/>
                <w:sz w:val="20"/>
                <w:szCs w:val="23"/>
              </w:rPr>
            </w:pPr>
            <w:r w:rsidRPr="00C473E8">
              <w:rPr>
                <w:rFonts w:ascii="Calibri" w:hAnsi="Calibri"/>
                <w:sz w:val="20"/>
                <w:szCs w:val="23"/>
              </w:rPr>
              <w:t>Affiliation to British Gymnastics Association and competition entry costs.</w:t>
            </w:r>
          </w:p>
          <w:p w:rsidR="00C473E8" w:rsidRPr="00C473E8" w:rsidRDefault="00C473E8" w:rsidP="00C473E8">
            <w:pPr>
              <w:pStyle w:val="Default"/>
              <w:rPr>
                <w:rFonts w:ascii="Calibri" w:hAnsi="Calibri"/>
                <w:sz w:val="20"/>
                <w:szCs w:val="23"/>
              </w:rPr>
            </w:pPr>
            <w:r>
              <w:rPr>
                <w:rFonts w:ascii="Calibri" w:hAnsi="Calibri"/>
                <w:sz w:val="20"/>
                <w:szCs w:val="23"/>
              </w:rPr>
              <w:t xml:space="preserve">Entry for Exmoor Rotary Moorland Walk Event May 2018 and the </w:t>
            </w:r>
            <w:r w:rsidRPr="00C473E8">
              <w:rPr>
                <w:rFonts w:ascii="Calibri" w:hAnsi="Calibri"/>
                <w:sz w:val="20"/>
                <w:szCs w:val="23"/>
              </w:rPr>
              <w:t xml:space="preserve">resources </w:t>
            </w:r>
            <w:r>
              <w:rPr>
                <w:rFonts w:ascii="Calibri" w:hAnsi="Calibri"/>
                <w:sz w:val="20"/>
                <w:szCs w:val="23"/>
              </w:rPr>
              <w:t>required for teams stipulated in the rules of the competition.</w:t>
            </w:r>
          </w:p>
        </w:tc>
        <w:tc>
          <w:tcPr>
            <w:tcW w:w="2551" w:type="dxa"/>
          </w:tcPr>
          <w:p w:rsidR="005A338C" w:rsidRDefault="00C473E8" w:rsidP="00F90383">
            <w:pPr>
              <w:spacing w:after="0"/>
              <w:rPr>
                <w:sz w:val="18"/>
              </w:rPr>
            </w:pPr>
            <w:r>
              <w:rPr>
                <w:sz w:val="18"/>
              </w:rPr>
              <w:t>Provision of the necessary equipment recommended by Creative Development to engage and support teachers and children to access fun and accessible resources.</w:t>
            </w:r>
          </w:p>
        </w:tc>
      </w:tr>
      <w:tr w:rsidR="005A338C" w:rsidTr="001661DE">
        <w:trPr>
          <w:trHeight w:val="745"/>
        </w:trPr>
        <w:tc>
          <w:tcPr>
            <w:tcW w:w="2904" w:type="dxa"/>
            <w:vAlign w:val="center"/>
          </w:tcPr>
          <w:p w:rsidR="005A338C" w:rsidRPr="00142448" w:rsidRDefault="005A338C" w:rsidP="008603B8">
            <w:pPr>
              <w:spacing w:after="0"/>
              <w:rPr>
                <w:b/>
                <w:sz w:val="24"/>
                <w:szCs w:val="24"/>
              </w:rPr>
            </w:pPr>
            <w:r w:rsidRPr="00142448">
              <w:rPr>
                <w:b/>
                <w:sz w:val="24"/>
                <w:szCs w:val="24"/>
              </w:rPr>
              <w:t>Enriched opportunities</w:t>
            </w:r>
          </w:p>
        </w:tc>
        <w:tc>
          <w:tcPr>
            <w:tcW w:w="1311" w:type="dxa"/>
            <w:vAlign w:val="center"/>
          </w:tcPr>
          <w:p w:rsidR="005A338C" w:rsidRPr="00F433F9" w:rsidRDefault="001661DE" w:rsidP="00F433F9">
            <w:pPr>
              <w:spacing w:after="0"/>
              <w:jc w:val="center"/>
              <w:rPr>
                <w:b/>
                <w:sz w:val="24"/>
                <w:szCs w:val="24"/>
              </w:rPr>
            </w:pPr>
            <w:r>
              <w:rPr>
                <w:b/>
                <w:sz w:val="24"/>
                <w:szCs w:val="24"/>
              </w:rPr>
              <w:t>Free allocation, limited spaces</w:t>
            </w:r>
          </w:p>
        </w:tc>
        <w:tc>
          <w:tcPr>
            <w:tcW w:w="4433" w:type="dxa"/>
          </w:tcPr>
          <w:p w:rsidR="005A338C" w:rsidRDefault="001661DE" w:rsidP="001661DE">
            <w:pPr>
              <w:spacing w:after="0"/>
              <w:rPr>
                <w:sz w:val="18"/>
              </w:rPr>
            </w:pPr>
            <w:r>
              <w:rPr>
                <w:sz w:val="18"/>
              </w:rPr>
              <w:t xml:space="preserve">Bike ability offered to all Year 3, 4, 5 and 6 children. </w:t>
            </w:r>
          </w:p>
          <w:p w:rsidR="001661DE" w:rsidRDefault="001661DE" w:rsidP="001661DE">
            <w:pPr>
              <w:spacing w:after="0"/>
              <w:rPr>
                <w:sz w:val="18"/>
              </w:rPr>
            </w:pPr>
            <w:r>
              <w:rPr>
                <w:sz w:val="18"/>
              </w:rPr>
              <w:t xml:space="preserve">In March 2018 </w:t>
            </w:r>
            <w:r w:rsidR="000B1A53">
              <w:rPr>
                <w:sz w:val="18"/>
              </w:rPr>
              <w:t>introduced,</w:t>
            </w:r>
            <w:r>
              <w:rPr>
                <w:sz w:val="18"/>
              </w:rPr>
              <w:t xml:space="preserve"> learn to ride scheme to reception children with balance bikes.</w:t>
            </w:r>
          </w:p>
        </w:tc>
        <w:tc>
          <w:tcPr>
            <w:tcW w:w="2551" w:type="dxa"/>
          </w:tcPr>
          <w:p w:rsidR="005A338C" w:rsidRDefault="001661DE" w:rsidP="00F90383">
            <w:pPr>
              <w:spacing w:after="0"/>
              <w:rPr>
                <w:sz w:val="18"/>
              </w:rPr>
            </w:pPr>
            <w:r>
              <w:rPr>
                <w:sz w:val="18"/>
              </w:rPr>
              <w:t>For all children to leave Year 6 competent</w:t>
            </w:r>
            <w:r w:rsidR="00942258">
              <w:rPr>
                <w:sz w:val="18"/>
              </w:rPr>
              <w:t>ly</w:t>
            </w:r>
            <w:r>
              <w:rPr>
                <w:sz w:val="18"/>
              </w:rPr>
              <w:t xml:space="preserve"> riding a bike safely on and off roads achieving their level 2 cycling proficiency.</w:t>
            </w:r>
          </w:p>
          <w:p w:rsidR="001661DE" w:rsidRDefault="00942258" w:rsidP="00942258">
            <w:pPr>
              <w:spacing w:after="0"/>
              <w:rPr>
                <w:sz w:val="18"/>
              </w:rPr>
            </w:pPr>
            <w:r>
              <w:rPr>
                <w:sz w:val="18"/>
              </w:rPr>
              <w:t>Providing opportunities to support younger children becoming confident and balancing on bikes developing onto the progressive bike ability cycling proficiency scheme.</w:t>
            </w:r>
          </w:p>
        </w:tc>
      </w:tr>
      <w:tr w:rsidR="005A338C" w:rsidTr="001661DE">
        <w:trPr>
          <w:trHeight w:val="962"/>
        </w:trPr>
        <w:tc>
          <w:tcPr>
            <w:tcW w:w="2904" w:type="dxa"/>
            <w:vAlign w:val="center"/>
          </w:tcPr>
          <w:p w:rsidR="005A338C" w:rsidRPr="00142448" w:rsidRDefault="00142448" w:rsidP="008603B8">
            <w:pPr>
              <w:spacing w:after="0"/>
              <w:rPr>
                <w:b/>
                <w:sz w:val="24"/>
                <w:szCs w:val="24"/>
              </w:rPr>
            </w:pPr>
            <w:r w:rsidRPr="00142448">
              <w:rPr>
                <w:b/>
                <w:sz w:val="24"/>
                <w:szCs w:val="24"/>
              </w:rPr>
              <w:lastRenderedPageBreak/>
              <w:t>Whole s</w:t>
            </w:r>
            <w:r w:rsidR="005A338C" w:rsidRPr="00142448">
              <w:rPr>
                <w:b/>
                <w:sz w:val="24"/>
                <w:szCs w:val="24"/>
              </w:rPr>
              <w:t>chool advocacy and impact</w:t>
            </w:r>
          </w:p>
        </w:tc>
        <w:tc>
          <w:tcPr>
            <w:tcW w:w="1311" w:type="dxa"/>
            <w:vAlign w:val="center"/>
          </w:tcPr>
          <w:p w:rsidR="005A338C" w:rsidRPr="00F433F9" w:rsidRDefault="00F433F9" w:rsidP="00F433F9">
            <w:pPr>
              <w:spacing w:after="0"/>
              <w:jc w:val="center"/>
              <w:rPr>
                <w:b/>
                <w:sz w:val="24"/>
                <w:szCs w:val="24"/>
              </w:rPr>
            </w:pPr>
            <w:r>
              <w:rPr>
                <w:b/>
                <w:sz w:val="24"/>
                <w:szCs w:val="24"/>
              </w:rPr>
              <w:t>£11000</w:t>
            </w:r>
          </w:p>
        </w:tc>
        <w:tc>
          <w:tcPr>
            <w:tcW w:w="4433" w:type="dxa"/>
          </w:tcPr>
          <w:p w:rsidR="005A338C" w:rsidRDefault="00F433F9" w:rsidP="00F90383">
            <w:pPr>
              <w:spacing w:after="0"/>
              <w:rPr>
                <w:sz w:val="18"/>
              </w:rPr>
            </w:pPr>
            <w:r>
              <w:rPr>
                <w:sz w:val="20"/>
                <w:szCs w:val="23"/>
              </w:rPr>
              <w:t>Investment in developing the school grounds building an additional all weather active zone with wet pour rubber surfacing, playground markers to promote active play and climbing frame to explore and develop gross motor skills.</w:t>
            </w:r>
          </w:p>
        </w:tc>
        <w:tc>
          <w:tcPr>
            <w:tcW w:w="2551" w:type="dxa"/>
          </w:tcPr>
          <w:p w:rsidR="005A338C" w:rsidRDefault="00F433F9" w:rsidP="007427C8">
            <w:pPr>
              <w:spacing w:after="0"/>
              <w:rPr>
                <w:sz w:val="18"/>
              </w:rPr>
            </w:pPr>
            <w:r>
              <w:rPr>
                <w:sz w:val="20"/>
                <w:szCs w:val="23"/>
              </w:rPr>
              <w:t xml:space="preserve">To enable children to utilise the double </w:t>
            </w:r>
            <w:r w:rsidR="000B1A53">
              <w:rPr>
                <w:sz w:val="20"/>
                <w:szCs w:val="23"/>
              </w:rPr>
              <w:t>full-length</w:t>
            </w:r>
            <w:r>
              <w:rPr>
                <w:sz w:val="20"/>
                <w:szCs w:val="23"/>
              </w:rPr>
              <w:t xml:space="preserve"> courts to play games without the risk of safety to other children not playing these games and to allow them space to active play without disruption of balls </w:t>
            </w:r>
            <w:r w:rsidR="007427C8">
              <w:rPr>
                <w:sz w:val="20"/>
                <w:szCs w:val="23"/>
              </w:rPr>
              <w:t>and promote alternative active play using playground markers and additional space all year round.</w:t>
            </w:r>
          </w:p>
        </w:tc>
      </w:tr>
      <w:tr w:rsidR="005A338C" w:rsidTr="001661DE">
        <w:trPr>
          <w:trHeight w:val="632"/>
        </w:trPr>
        <w:tc>
          <w:tcPr>
            <w:tcW w:w="2904" w:type="dxa"/>
            <w:vAlign w:val="center"/>
          </w:tcPr>
          <w:p w:rsidR="005A338C" w:rsidRPr="00142448" w:rsidRDefault="00142448" w:rsidP="008603B8">
            <w:pPr>
              <w:spacing w:after="0"/>
              <w:rPr>
                <w:b/>
                <w:sz w:val="24"/>
                <w:szCs w:val="24"/>
              </w:rPr>
            </w:pPr>
            <w:r w:rsidRPr="00142448">
              <w:rPr>
                <w:b/>
                <w:sz w:val="24"/>
                <w:szCs w:val="24"/>
              </w:rPr>
              <w:t>Health &amp; well b</w:t>
            </w:r>
            <w:r w:rsidR="005A338C" w:rsidRPr="00142448">
              <w:rPr>
                <w:b/>
                <w:sz w:val="24"/>
                <w:szCs w:val="24"/>
              </w:rPr>
              <w:t>eing</w:t>
            </w:r>
          </w:p>
        </w:tc>
        <w:tc>
          <w:tcPr>
            <w:tcW w:w="1311" w:type="dxa"/>
            <w:vAlign w:val="center"/>
          </w:tcPr>
          <w:p w:rsidR="005A338C" w:rsidRPr="00F433F9" w:rsidRDefault="006176B0" w:rsidP="00F433F9">
            <w:pPr>
              <w:spacing w:after="0"/>
              <w:jc w:val="center"/>
              <w:rPr>
                <w:b/>
                <w:sz w:val="24"/>
                <w:szCs w:val="24"/>
              </w:rPr>
            </w:pPr>
            <w:r>
              <w:rPr>
                <w:b/>
                <w:sz w:val="24"/>
                <w:szCs w:val="24"/>
              </w:rPr>
              <w:t>-</w:t>
            </w:r>
          </w:p>
        </w:tc>
        <w:tc>
          <w:tcPr>
            <w:tcW w:w="4433" w:type="dxa"/>
          </w:tcPr>
          <w:p w:rsidR="005A338C" w:rsidRDefault="00ED3DAD" w:rsidP="00F90383">
            <w:pPr>
              <w:spacing w:after="0"/>
              <w:rPr>
                <w:sz w:val="18"/>
              </w:rPr>
            </w:pPr>
            <w:r>
              <w:rPr>
                <w:sz w:val="18"/>
              </w:rPr>
              <w:t>Promote healthy snacks at least three days a week. Member of staff interacting over lunchtimes with children in the dinner hall, praising those with healthy choices, lunch boxes. PSHE lessons and PE lesson support educating the importance of a balanced diet and being active.</w:t>
            </w:r>
          </w:p>
        </w:tc>
        <w:tc>
          <w:tcPr>
            <w:tcW w:w="2551" w:type="dxa"/>
          </w:tcPr>
          <w:p w:rsidR="005A338C" w:rsidRDefault="00ED3DAD" w:rsidP="00ED3DAD">
            <w:pPr>
              <w:spacing w:after="0"/>
              <w:rPr>
                <w:sz w:val="18"/>
              </w:rPr>
            </w:pPr>
            <w:r>
              <w:rPr>
                <w:sz w:val="18"/>
              </w:rPr>
              <w:t>Reduced number of sugary snacks, children mindset changed to choosing a healthy snack, encouraging 2 x100 calories snacks a day. Fruit and vegetables delivered for KS1.</w:t>
            </w:r>
          </w:p>
        </w:tc>
      </w:tr>
      <w:tr w:rsidR="005A338C" w:rsidTr="001661DE">
        <w:trPr>
          <w:trHeight w:val="664"/>
        </w:trPr>
        <w:tc>
          <w:tcPr>
            <w:tcW w:w="2904" w:type="dxa"/>
            <w:vAlign w:val="center"/>
          </w:tcPr>
          <w:p w:rsidR="005A338C" w:rsidRPr="00142448" w:rsidRDefault="005A338C" w:rsidP="008603B8">
            <w:pPr>
              <w:spacing w:after="0"/>
              <w:rPr>
                <w:b/>
                <w:sz w:val="24"/>
                <w:szCs w:val="24"/>
              </w:rPr>
            </w:pPr>
            <w:r w:rsidRPr="00142448">
              <w:rPr>
                <w:b/>
                <w:sz w:val="24"/>
                <w:szCs w:val="24"/>
              </w:rPr>
              <w:t>Competitive opportunities</w:t>
            </w:r>
          </w:p>
        </w:tc>
        <w:tc>
          <w:tcPr>
            <w:tcW w:w="1311" w:type="dxa"/>
            <w:vAlign w:val="center"/>
          </w:tcPr>
          <w:p w:rsidR="005A338C" w:rsidRPr="00F433F9" w:rsidRDefault="006176B0" w:rsidP="00F433F9">
            <w:pPr>
              <w:spacing w:after="0"/>
              <w:jc w:val="center"/>
              <w:rPr>
                <w:b/>
                <w:sz w:val="24"/>
                <w:szCs w:val="24"/>
              </w:rPr>
            </w:pPr>
            <w:r>
              <w:rPr>
                <w:b/>
                <w:sz w:val="24"/>
                <w:szCs w:val="24"/>
              </w:rPr>
              <w:t>£570</w:t>
            </w:r>
          </w:p>
        </w:tc>
        <w:tc>
          <w:tcPr>
            <w:tcW w:w="4433" w:type="dxa"/>
          </w:tcPr>
          <w:p w:rsidR="005A338C" w:rsidRDefault="009F419F" w:rsidP="00ED3DAD">
            <w:pPr>
              <w:spacing w:after="0"/>
              <w:rPr>
                <w:sz w:val="20"/>
                <w:szCs w:val="23"/>
              </w:rPr>
            </w:pPr>
            <w:r>
              <w:rPr>
                <w:sz w:val="20"/>
                <w:szCs w:val="23"/>
              </w:rPr>
              <w:t xml:space="preserve">Subject leaders </w:t>
            </w:r>
            <w:r w:rsidR="00ED3DAD">
              <w:rPr>
                <w:sz w:val="20"/>
                <w:szCs w:val="23"/>
              </w:rPr>
              <w:t>o</w:t>
            </w:r>
            <w:r>
              <w:rPr>
                <w:sz w:val="20"/>
                <w:szCs w:val="23"/>
              </w:rPr>
              <w:t>verseas the promotion and running of extra-</w:t>
            </w:r>
            <w:r w:rsidRPr="00BD1C41">
              <w:rPr>
                <w:sz w:val="20"/>
                <w:szCs w:val="23"/>
              </w:rPr>
              <w:t>curricular club</w:t>
            </w:r>
            <w:r>
              <w:rPr>
                <w:sz w:val="20"/>
                <w:szCs w:val="23"/>
              </w:rPr>
              <w:t>s each term.</w:t>
            </w:r>
            <w:r w:rsidR="00ED3DAD">
              <w:rPr>
                <w:sz w:val="20"/>
                <w:szCs w:val="23"/>
              </w:rPr>
              <w:t xml:space="preserve"> Enters and arranges fixtures supporting l</w:t>
            </w:r>
            <w:r w:rsidRPr="00BD1C41">
              <w:rPr>
                <w:sz w:val="20"/>
                <w:szCs w:val="23"/>
              </w:rPr>
              <w:t>ocal and regional competition</w:t>
            </w:r>
            <w:r>
              <w:rPr>
                <w:sz w:val="20"/>
                <w:szCs w:val="23"/>
              </w:rPr>
              <w:t>s</w:t>
            </w:r>
            <w:r w:rsidR="00ED3DAD">
              <w:rPr>
                <w:sz w:val="20"/>
                <w:szCs w:val="23"/>
              </w:rPr>
              <w:t>.</w:t>
            </w:r>
          </w:p>
          <w:p w:rsidR="00C473E8" w:rsidRDefault="00C473E8" w:rsidP="00ED3DAD">
            <w:pPr>
              <w:spacing w:after="0"/>
              <w:rPr>
                <w:sz w:val="18"/>
              </w:rPr>
            </w:pPr>
          </w:p>
        </w:tc>
        <w:tc>
          <w:tcPr>
            <w:tcW w:w="2551" w:type="dxa"/>
          </w:tcPr>
          <w:p w:rsidR="00ED3DAD" w:rsidRDefault="00C473E8" w:rsidP="00C473E8">
            <w:pPr>
              <w:spacing w:after="0"/>
              <w:rPr>
                <w:sz w:val="20"/>
                <w:szCs w:val="23"/>
              </w:rPr>
            </w:pPr>
            <w:r w:rsidRPr="00BD1C41">
              <w:rPr>
                <w:sz w:val="20"/>
                <w:szCs w:val="23"/>
              </w:rPr>
              <w:t>To enable pupils’, the opportunity to represent in local and regional gymnastic events including the Milano and South West Floor and Vault competition. Resulting in our mixed team making the 2017</w:t>
            </w:r>
            <w:r>
              <w:rPr>
                <w:sz w:val="20"/>
                <w:szCs w:val="23"/>
              </w:rPr>
              <w:t xml:space="preserve"> &amp; 2018 </w:t>
            </w:r>
            <w:r w:rsidRPr="00BD1C41">
              <w:rPr>
                <w:sz w:val="20"/>
                <w:szCs w:val="23"/>
              </w:rPr>
              <w:t>National Gymn</w:t>
            </w:r>
            <w:r>
              <w:rPr>
                <w:sz w:val="20"/>
                <w:szCs w:val="23"/>
              </w:rPr>
              <w:t xml:space="preserve">astics Competition.  Year 6 Leavers in 2017 won the Seward Cup in </w:t>
            </w:r>
            <w:r w:rsidRPr="00BD1C41">
              <w:rPr>
                <w:sz w:val="20"/>
                <w:szCs w:val="23"/>
              </w:rPr>
              <w:t>the Annual Exmoor Challenge</w:t>
            </w:r>
            <w:r>
              <w:rPr>
                <w:sz w:val="20"/>
                <w:szCs w:val="23"/>
              </w:rPr>
              <w:t xml:space="preserve"> 16.1 mile </w:t>
            </w:r>
            <w:r w:rsidRPr="00BD1C41">
              <w:rPr>
                <w:sz w:val="20"/>
                <w:szCs w:val="23"/>
              </w:rPr>
              <w:t>Moorland Walk competition</w:t>
            </w:r>
            <w:r>
              <w:rPr>
                <w:sz w:val="20"/>
                <w:szCs w:val="23"/>
              </w:rPr>
              <w:t>.</w:t>
            </w:r>
          </w:p>
          <w:p w:rsidR="00C473E8" w:rsidRDefault="00C473E8" w:rsidP="00C473E8">
            <w:pPr>
              <w:spacing w:after="0"/>
              <w:rPr>
                <w:sz w:val="18"/>
              </w:rPr>
            </w:pPr>
            <w:r>
              <w:rPr>
                <w:sz w:val="20"/>
                <w:szCs w:val="23"/>
              </w:rPr>
              <w:t>Achieving the Devon Tag Rugby Finals in June 2018.</w:t>
            </w:r>
          </w:p>
        </w:tc>
      </w:tr>
      <w:tr w:rsidR="005A338C" w:rsidTr="001661DE">
        <w:trPr>
          <w:trHeight w:val="731"/>
        </w:trPr>
        <w:tc>
          <w:tcPr>
            <w:tcW w:w="2904" w:type="dxa"/>
            <w:vAlign w:val="center"/>
          </w:tcPr>
          <w:p w:rsidR="005A338C" w:rsidRPr="00142448" w:rsidRDefault="00142448" w:rsidP="008603B8">
            <w:pPr>
              <w:spacing w:after="0"/>
              <w:rPr>
                <w:b/>
                <w:sz w:val="24"/>
                <w:szCs w:val="24"/>
              </w:rPr>
            </w:pPr>
            <w:r w:rsidRPr="00142448">
              <w:rPr>
                <w:b/>
                <w:sz w:val="24"/>
                <w:szCs w:val="24"/>
              </w:rPr>
              <w:t>Swimming</w:t>
            </w:r>
          </w:p>
        </w:tc>
        <w:tc>
          <w:tcPr>
            <w:tcW w:w="1311" w:type="dxa"/>
            <w:vAlign w:val="center"/>
          </w:tcPr>
          <w:p w:rsidR="005A338C" w:rsidRPr="00F433F9" w:rsidRDefault="000B1A53" w:rsidP="00F433F9">
            <w:pPr>
              <w:spacing w:after="0"/>
              <w:jc w:val="center"/>
              <w:rPr>
                <w:b/>
                <w:sz w:val="24"/>
                <w:szCs w:val="24"/>
              </w:rPr>
            </w:pPr>
            <w:r>
              <w:rPr>
                <w:b/>
                <w:sz w:val="24"/>
                <w:szCs w:val="24"/>
              </w:rPr>
              <w:t>No additional funds used</w:t>
            </w:r>
          </w:p>
        </w:tc>
        <w:tc>
          <w:tcPr>
            <w:tcW w:w="4433" w:type="dxa"/>
          </w:tcPr>
          <w:p w:rsidR="005A338C" w:rsidRDefault="00B27A8E" w:rsidP="00B27A8E">
            <w:pPr>
              <w:spacing w:after="0"/>
              <w:rPr>
                <w:sz w:val="18"/>
              </w:rPr>
            </w:pPr>
            <w:r>
              <w:rPr>
                <w:sz w:val="18"/>
              </w:rPr>
              <w:t>All key stage two classes are timetabled throughout the year to have access to swimming and learn about water safety and build water confidence: Autumn Term for Year 3, Spring Term Year 4, Summer Term 1 Year 5 attend and the second half of the Summer term, Year 6 com</w:t>
            </w:r>
            <w:r w:rsidR="000C4783">
              <w:rPr>
                <w:sz w:val="18"/>
              </w:rPr>
              <w:t>plete their swimming curriculum in conjunction with the Devon 100m aspirations</w:t>
            </w:r>
          </w:p>
        </w:tc>
        <w:tc>
          <w:tcPr>
            <w:tcW w:w="2551" w:type="dxa"/>
          </w:tcPr>
          <w:p w:rsidR="00B27A8E" w:rsidRDefault="000C4783" w:rsidP="000C4783">
            <w:pPr>
              <w:spacing w:after="0"/>
              <w:rPr>
                <w:sz w:val="18"/>
              </w:rPr>
            </w:pPr>
            <w:r>
              <w:rPr>
                <w:sz w:val="18"/>
              </w:rPr>
              <w:t xml:space="preserve">All children </w:t>
            </w:r>
            <w:r w:rsidR="00B27A8E">
              <w:rPr>
                <w:sz w:val="18"/>
              </w:rPr>
              <w:t xml:space="preserve">assessed on their first lesson and </w:t>
            </w:r>
            <w:r>
              <w:rPr>
                <w:sz w:val="18"/>
              </w:rPr>
              <w:t xml:space="preserve">grouped according to ability. Their progress </w:t>
            </w:r>
            <w:r w:rsidR="00B27A8E">
              <w:rPr>
                <w:sz w:val="18"/>
              </w:rPr>
              <w:t>tracked not only through their term</w:t>
            </w:r>
            <w:r>
              <w:rPr>
                <w:sz w:val="18"/>
              </w:rPr>
              <w:t>s</w:t>
            </w:r>
            <w:r w:rsidR="00B27A8E">
              <w:rPr>
                <w:sz w:val="18"/>
              </w:rPr>
              <w:t xml:space="preserve"> allocat</w:t>
            </w:r>
            <w:r>
              <w:rPr>
                <w:sz w:val="18"/>
              </w:rPr>
              <w:t>ed time b</w:t>
            </w:r>
            <w:r w:rsidR="00B27A8E">
              <w:rPr>
                <w:sz w:val="18"/>
              </w:rPr>
              <w:t>ut also over their journey through</w:t>
            </w:r>
            <w:r>
              <w:rPr>
                <w:sz w:val="18"/>
              </w:rPr>
              <w:t xml:space="preserve"> Years 3 up to 6 KS2. Celebrating their achievements on our website: Y</w:t>
            </w:r>
            <w:r w:rsidR="00B27A8E">
              <w:rPr>
                <w:sz w:val="18"/>
              </w:rPr>
              <w:t xml:space="preserve">ear 6 </w:t>
            </w:r>
            <w:r>
              <w:rPr>
                <w:sz w:val="18"/>
              </w:rPr>
              <w:t xml:space="preserve">Levers </w:t>
            </w:r>
            <w:r w:rsidR="00B27A8E">
              <w:rPr>
                <w:sz w:val="18"/>
              </w:rPr>
              <w:t xml:space="preserve">Data: </w:t>
            </w:r>
            <w:r>
              <w:rPr>
                <w:sz w:val="18"/>
              </w:rPr>
              <w:t>56% achieved up to 100m and 44% achieved over 100m up to distances of 2000m.</w:t>
            </w:r>
          </w:p>
        </w:tc>
      </w:tr>
      <w:tr w:rsidR="00142448" w:rsidTr="008603B8">
        <w:trPr>
          <w:gridAfter w:val="2"/>
          <w:wAfter w:w="6984" w:type="dxa"/>
          <w:trHeight w:val="692"/>
        </w:trPr>
        <w:tc>
          <w:tcPr>
            <w:tcW w:w="2904" w:type="dxa"/>
            <w:vAlign w:val="center"/>
          </w:tcPr>
          <w:p w:rsidR="00142448" w:rsidRPr="00142448" w:rsidRDefault="00142448" w:rsidP="00142448">
            <w:pPr>
              <w:spacing w:after="0"/>
              <w:jc w:val="center"/>
              <w:rPr>
                <w:b/>
                <w:sz w:val="32"/>
                <w:szCs w:val="24"/>
              </w:rPr>
            </w:pPr>
            <w:r w:rsidRPr="00142448">
              <w:rPr>
                <w:b/>
                <w:sz w:val="32"/>
                <w:szCs w:val="24"/>
              </w:rPr>
              <w:t>Total Spend</w:t>
            </w:r>
          </w:p>
        </w:tc>
        <w:tc>
          <w:tcPr>
            <w:tcW w:w="1311" w:type="dxa"/>
            <w:vAlign w:val="center"/>
          </w:tcPr>
          <w:p w:rsidR="00142448" w:rsidRPr="008603B8" w:rsidRDefault="00142448" w:rsidP="008603B8">
            <w:pPr>
              <w:spacing w:after="0"/>
              <w:jc w:val="center"/>
              <w:rPr>
                <w:b/>
                <w:sz w:val="36"/>
                <w:highlight w:val="yellow"/>
              </w:rPr>
            </w:pPr>
            <w:r w:rsidRPr="008603B8">
              <w:rPr>
                <w:b/>
                <w:sz w:val="36"/>
                <w:highlight w:val="yellow"/>
              </w:rPr>
              <w:t>£18570</w:t>
            </w:r>
          </w:p>
        </w:tc>
      </w:tr>
    </w:tbl>
    <w:p w:rsidR="005A338C" w:rsidRDefault="005A338C" w:rsidP="00F90383">
      <w:pPr>
        <w:spacing w:after="0"/>
        <w:rPr>
          <w:sz w:val="18"/>
        </w:rPr>
      </w:pPr>
    </w:p>
    <w:p w:rsidR="00DB1294" w:rsidRPr="00BD1C41" w:rsidRDefault="00DB1294" w:rsidP="00142448">
      <w:pPr>
        <w:spacing w:after="0" w:line="240" w:lineRule="auto"/>
        <w:rPr>
          <w:sz w:val="18"/>
        </w:rPr>
      </w:pPr>
    </w:p>
    <w:sectPr w:rsidR="00DB1294" w:rsidRPr="00BD1C41" w:rsidSect="000B1A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F626A"/>
    <w:multiLevelType w:val="hybridMultilevel"/>
    <w:tmpl w:val="8806B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4C"/>
    <w:rsid w:val="000360B9"/>
    <w:rsid w:val="00061B39"/>
    <w:rsid w:val="00097C5E"/>
    <w:rsid w:val="000B1A53"/>
    <w:rsid w:val="000C4783"/>
    <w:rsid w:val="00142448"/>
    <w:rsid w:val="001661DE"/>
    <w:rsid w:val="001B270B"/>
    <w:rsid w:val="001F5448"/>
    <w:rsid w:val="00277FF3"/>
    <w:rsid w:val="002E3E58"/>
    <w:rsid w:val="002E47E5"/>
    <w:rsid w:val="003A27E8"/>
    <w:rsid w:val="003C6262"/>
    <w:rsid w:val="003E0235"/>
    <w:rsid w:val="00433279"/>
    <w:rsid w:val="004E0924"/>
    <w:rsid w:val="004E0ECB"/>
    <w:rsid w:val="00517366"/>
    <w:rsid w:val="00536A04"/>
    <w:rsid w:val="005739E1"/>
    <w:rsid w:val="005A338C"/>
    <w:rsid w:val="005B7604"/>
    <w:rsid w:val="005C7905"/>
    <w:rsid w:val="005D5868"/>
    <w:rsid w:val="005F044C"/>
    <w:rsid w:val="005F64A8"/>
    <w:rsid w:val="006176B0"/>
    <w:rsid w:val="006B0159"/>
    <w:rsid w:val="006C15C4"/>
    <w:rsid w:val="007427C8"/>
    <w:rsid w:val="007528A1"/>
    <w:rsid w:val="00767257"/>
    <w:rsid w:val="007864D7"/>
    <w:rsid w:val="00791886"/>
    <w:rsid w:val="007A4D3F"/>
    <w:rsid w:val="007A500F"/>
    <w:rsid w:val="008603B8"/>
    <w:rsid w:val="0087450C"/>
    <w:rsid w:val="008C76C1"/>
    <w:rsid w:val="00916A2D"/>
    <w:rsid w:val="00942258"/>
    <w:rsid w:val="00975026"/>
    <w:rsid w:val="009807F5"/>
    <w:rsid w:val="009F419F"/>
    <w:rsid w:val="00A85E3D"/>
    <w:rsid w:val="00B13E54"/>
    <w:rsid w:val="00B27A8E"/>
    <w:rsid w:val="00B40EC8"/>
    <w:rsid w:val="00BB4E80"/>
    <w:rsid w:val="00BD1C41"/>
    <w:rsid w:val="00BE106A"/>
    <w:rsid w:val="00BF29FF"/>
    <w:rsid w:val="00C109BA"/>
    <w:rsid w:val="00C23409"/>
    <w:rsid w:val="00C26762"/>
    <w:rsid w:val="00C473E8"/>
    <w:rsid w:val="00CB1113"/>
    <w:rsid w:val="00CC545E"/>
    <w:rsid w:val="00D02408"/>
    <w:rsid w:val="00D86262"/>
    <w:rsid w:val="00DB1294"/>
    <w:rsid w:val="00DB1DB7"/>
    <w:rsid w:val="00E010B1"/>
    <w:rsid w:val="00E114B9"/>
    <w:rsid w:val="00E16F7D"/>
    <w:rsid w:val="00E4021C"/>
    <w:rsid w:val="00E84430"/>
    <w:rsid w:val="00ED3DAD"/>
    <w:rsid w:val="00F1120F"/>
    <w:rsid w:val="00F12C22"/>
    <w:rsid w:val="00F279CC"/>
    <w:rsid w:val="00F357A2"/>
    <w:rsid w:val="00F4228F"/>
    <w:rsid w:val="00F433F9"/>
    <w:rsid w:val="00F61801"/>
    <w:rsid w:val="00F90383"/>
    <w:rsid w:val="00FC2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44C"/>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5F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86"/>
    <w:rPr>
      <w:rFonts w:ascii="Tahoma" w:hAnsi="Tahoma" w:cs="Tahoma"/>
      <w:sz w:val="16"/>
      <w:szCs w:val="16"/>
      <w:lang w:val="en-US" w:eastAsia="en-US"/>
    </w:rPr>
  </w:style>
  <w:style w:type="character" w:styleId="Hyperlink">
    <w:name w:val="Hyperlink"/>
    <w:basedOn w:val="DefaultParagraphFont"/>
    <w:uiPriority w:val="99"/>
    <w:unhideWhenUsed/>
    <w:rsid w:val="00874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4A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44C"/>
    <w:pPr>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5F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86"/>
    <w:rPr>
      <w:rFonts w:ascii="Tahoma" w:hAnsi="Tahoma" w:cs="Tahoma"/>
      <w:sz w:val="16"/>
      <w:szCs w:val="16"/>
      <w:lang w:val="en-US" w:eastAsia="en-US"/>
    </w:rPr>
  </w:style>
  <w:style w:type="character" w:styleId="Hyperlink">
    <w:name w:val="Hyperlink"/>
    <w:basedOn w:val="DefaultParagraphFont"/>
    <w:uiPriority w:val="99"/>
    <w:unhideWhenUsed/>
    <w:rsid w:val="00874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D1624-5D23-45F7-AB79-1983374CF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7AFBFC4D</Template>
  <TotalTime>0</TotalTime>
  <Pages>2</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soper</dc:creator>
  <cp:lastModifiedBy>Demelza Higginson</cp:lastModifiedBy>
  <cp:revision>2</cp:revision>
  <dcterms:created xsi:type="dcterms:W3CDTF">2018-03-29T14:04:00Z</dcterms:created>
  <dcterms:modified xsi:type="dcterms:W3CDTF">2018-03-29T14:04:00Z</dcterms:modified>
</cp:coreProperties>
</file>